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E079D" w14:textId="77777777" w:rsidR="009905F4" w:rsidRPr="00E046CF" w:rsidRDefault="009905F4" w:rsidP="00394E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spacing w:afterLines="200" w:after="480" w:line="276" w:lineRule="auto"/>
        <w:jc w:val="center"/>
        <w:rPr>
          <w:bCs/>
          <w:snapToGrid w:val="0"/>
          <w:sz w:val="32"/>
          <w:szCs w:val="24"/>
          <w:lang w:val="es-ES_tradnl"/>
        </w:rPr>
      </w:pPr>
      <w:r w:rsidRPr="00E046CF">
        <w:rPr>
          <w:bCs/>
          <w:snapToGrid w:val="0"/>
          <w:sz w:val="32"/>
          <w:szCs w:val="24"/>
          <w:lang w:val="es-ES_tradnl"/>
        </w:rPr>
        <w:t>COMISIÓN ANDALUZA DE DENTOLOGÍA MÉDICA</w:t>
      </w:r>
    </w:p>
    <w:p w14:paraId="0386D001" w14:textId="77777777" w:rsidR="00394E74" w:rsidRDefault="00394E74" w:rsidP="00394E74">
      <w:pPr>
        <w:spacing w:afterLines="200" w:after="480" w:line="360" w:lineRule="auto"/>
        <w:jc w:val="center"/>
        <w:rPr>
          <w:b/>
          <w:sz w:val="28"/>
          <w:szCs w:val="28"/>
        </w:rPr>
      </w:pPr>
    </w:p>
    <w:p w14:paraId="65E67227" w14:textId="77777777" w:rsidR="003F66CB" w:rsidRPr="005052D5" w:rsidRDefault="009905F4" w:rsidP="00394E74">
      <w:pPr>
        <w:spacing w:afterLines="200" w:after="480" w:line="360" w:lineRule="auto"/>
        <w:jc w:val="center"/>
        <w:rPr>
          <w:b/>
          <w:sz w:val="28"/>
          <w:szCs w:val="28"/>
        </w:rPr>
      </w:pPr>
      <w:r w:rsidRPr="005052D5">
        <w:rPr>
          <w:b/>
          <w:sz w:val="28"/>
          <w:szCs w:val="28"/>
        </w:rPr>
        <w:t xml:space="preserve">Análisis de aspectos éticos de la proposición de ley </w:t>
      </w:r>
      <w:proofErr w:type="gramStart"/>
      <w:r w:rsidRPr="005052D5">
        <w:rPr>
          <w:b/>
          <w:sz w:val="28"/>
          <w:szCs w:val="28"/>
        </w:rPr>
        <w:t>en relación a</w:t>
      </w:r>
      <w:proofErr w:type="gramEnd"/>
      <w:r w:rsidRPr="005052D5">
        <w:rPr>
          <w:b/>
          <w:sz w:val="28"/>
          <w:szCs w:val="28"/>
        </w:rPr>
        <w:t xml:space="preserve"> la atención a personas </w:t>
      </w:r>
      <w:r w:rsidR="00394E74">
        <w:rPr>
          <w:b/>
          <w:sz w:val="28"/>
          <w:szCs w:val="28"/>
        </w:rPr>
        <w:t xml:space="preserve">lesbianas, </w:t>
      </w:r>
      <w:proofErr w:type="spellStart"/>
      <w:r w:rsidR="00394E74">
        <w:rPr>
          <w:b/>
          <w:sz w:val="28"/>
          <w:szCs w:val="28"/>
        </w:rPr>
        <w:t>gays</w:t>
      </w:r>
      <w:proofErr w:type="spellEnd"/>
      <w:r w:rsidR="00394E74">
        <w:rPr>
          <w:b/>
          <w:sz w:val="28"/>
          <w:szCs w:val="28"/>
        </w:rPr>
        <w:t>, transexuales, bisexuales e intersexuales (</w:t>
      </w:r>
      <w:r w:rsidRPr="005052D5">
        <w:rPr>
          <w:b/>
          <w:sz w:val="28"/>
          <w:szCs w:val="28"/>
        </w:rPr>
        <w:t>LGTBI</w:t>
      </w:r>
      <w:r w:rsidR="00394E74">
        <w:rPr>
          <w:b/>
          <w:sz w:val="28"/>
          <w:szCs w:val="28"/>
        </w:rPr>
        <w:t>)</w:t>
      </w:r>
      <w:r w:rsidR="00450157" w:rsidRPr="005052D5">
        <w:rPr>
          <w:b/>
          <w:sz w:val="28"/>
          <w:szCs w:val="28"/>
        </w:rPr>
        <w:t>.</w:t>
      </w:r>
    </w:p>
    <w:p w14:paraId="54B6406C" w14:textId="77777777" w:rsidR="003F66CB" w:rsidRDefault="003F66CB" w:rsidP="00394E74">
      <w:pPr>
        <w:spacing w:afterLines="200" w:after="480" w:line="360" w:lineRule="auto"/>
        <w:jc w:val="both"/>
      </w:pPr>
    </w:p>
    <w:p w14:paraId="6ED24B8B" w14:textId="77777777" w:rsidR="001B2753" w:rsidRDefault="001B2753" w:rsidP="00394E74">
      <w:pPr>
        <w:spacing w:afterLines="200" w:after="480" w:line="360" w:lineRule="auto"/>
        <w:jc w:val="both"/>
        <w:rPr>
          <w:sz w:val="22"/>
          <w:szCs w:val="22"/>
          <w:lang w:val="es-ES_tradnl"/>
        </w:rPr>
      </w:pPr>
      <w:r w:rsidRPr="001B2753">
        <w:rPr>
          <w:sz w:val="22"/>
          <w:szCs w:val="22"/>
          <w:lang w:val="es-ES_tradnl"/>
        </w:rPr>
        <w:t xml:space="preserve">Este documento está dividido en 4 </w:t>
      </w:r>
      <w:r w:rsidR="00757702">
        <w:rPr>
          <w:sz w:val="22"/>
          <w:szCs w:val="22"/>
          <w:lang w:val="es-ES_tradnl"/>
        </w:rPr>
        <w:t xml:space="preserve">apartados y pretende hacer una propuesta de modificación </w:t>
      </w:r>
      <w:r w:rsidR="00D52341">
        <w:rPr>
          <w:sz w:val="22"/>
          <w:szCs w:val="22"/>
          <w:lang w:val="es-ES_tradnl"/>
        </w:rPr>
        <w:t xml:space="preserve">de la </w:t>
      </w:r>
      <w:r w:rsidR="005052D5">
        <w:rPr>
          <w:sz w:val="22"/>
          <w:szCs w:val="22"/>
          <w:lang w:val="es-ES_tradnl"/>
        </w:rPr>
        <w:t>Proposición de Ley</w:t>
      </w:r>
      <w:r w:rsidR="00757702">
        <w:rPr>
          <w:sz w:val="22"/>
          <w:szCs w:val="22"/>
          <w:lang w:val="es-ES_tradnl"/>
        </w:rPr>
        <w:t xml:space="preserve"> publicad</w:t>
      </w:r>
      <w:r w:rsidR="00D52341">
        <w:rPr>
          <w:sz w:val="22"/>
          <w:szCs w:val="22"/>
          <w:lang w:val="es-ES_tradnl"/>
        </w:rPr>
        <w:t>a</w:t>
      </w:r>
      <w:r w:rsidR="00757702">
        <w:rPr>
          <w:sz w:val="22"/>
          <w:szCs w:val="22"/>
          <w:lang w:val="es-ES_tradnl"/>
        </w:rPr>
        <w:t xml:space="preserve"> en el Boletín del Parlamento de Andalucía </w:t>
      </w:r>
      <w:r w:rsidR="00A33FE3">
        <w:rPr>
          <w:sz w:val="22"/>
          <w:szCs w:val="22"/>
          <w:lang w:val="es-ES_tradnl"/>
        </w:rPr>
        <w:t>sobre</w:t>
      </w:r>
      <w:r w:rsidR="00757702">
        <w:rPr>
          <w:sz w:val="22"/>
          <w:szCs w:val="22"/>
          <w:lang w:val="es-ES_tradnl"/>
        </w:rPr>
        <w:t xml:space="preserve"> la atención de</w:t>
      </w:r>
      <w:r w:rsidR="00A33FE3">
        <w:rPr>
          <w:sz w:val="22"/>
          <w:szCs w:val="22"/>
          <w:lang w:val="es-ES_tradnl"/>
        </w:rPr>
        <w:t>l colectivo de</w:t>
      </w:r>
      <w:r w:rsidR="00757702">
        <w:rPr>
          <w:sz w:val="22"/>
          <w:szCs w:val="22"/>
          <w:lang w:val="es-ES_tradnl"/>
        </w:rPr>
        <w:t xml:space="preserve"> </w:t>
      </w:r>
      <w:r w:rsidR="00A33FE3">
        <w:rPr>
          <w:sz w:val="22"/>
          <w:szCs w:val="22"/>
          <w:lang w:val="es-ES_tradnl"/>
        </w:rPr>
        <w:t xml:space="preserve">lesbianas, </w:t>
      </w:r>
      <w:proofErr w:type="spellStart"/>
      <w:r w:rsidR="00A33FE3">
        <w:rPr>
          <w:sz w:val="22"/>
          <w:szCs w:val="22"/>
          <w:lang w:val="es-ES_tradnl"/>
        </w:rPr>
        <w:t>gays</w:t>
      </w:r>
      <w:proofErr w:type="spellEnd"/>
      <w:r w:rsidR="00A33FE3">
        <w:rPr>
          <w:sz w:val="22"/>
          <w:szCs w:val="22"/>
          <w:lang w:val="es-ES_tradnl"/>
        </w:rPr>
        <w:t xml:space="preserve">, </w:t>
      </w:r>
      <w:r w:rsidR="00A33FE3" w:rsidRPr="00BE7DC1">
        <w:rPr>
          <w:sz w:val="22"/>
          <w:szCs w:val="22"/>
          <w:lang w:val="es-ES_tradnl"/>
        </w:rPr>
        <w:t>transexuales</w:t>
      </w:r>
      <w:r w:rsidR="00A33FE3">
        <w:rPr>
          <w:sz w:val="22"/>
          <w:szCs w:val="22"/>
          <w:lang w:val="es-ES_tradnl"/>
        </w:rPr>
        <w:t>, bisexuales</w:t>
      </w:r>
      <w:r w:rsidR="00A33FE3" w:rsidRPr="00BE7DC1">
        <w:rPr>
          <w:sz w:val="22"/>
          <w:szCs w:val="22"/>
          <w:lang w:val="es-ES_tradnl"/>
        </w:rPr>
        <w:t xml:space="preserve"> e Intersexuales</w:t>
      </w:r>
      <w:r w:rsidR="00757702">
        <w:rPr>
          <w:sz w:val="22"/>
          <w:szCs w:val="22"/>
          <w:lang w:val="es-ES_tradnl"/>
        </w:rPr>
        <w:t xml:space="preserve"> </w:t>
      </w:r>
      <w:r w:rsidR="00A33FE3">
        <w:rPr>
          <w:sz w:val="22"/>
          <w:szCs w:val="22"/>
          <w:lang w:val="es-ES_tradnl"/>
        </w:rPr>
        <w:t>(</w:t>
      </w:r>
      <w:r w:rsidR="00757702">
        <w:rPr>
          <w:sz w:val="22"/>
          <w:szCs w:val="22"/>
          <w:lang w:val="es-ES_tradnl"/>
        </w:rPr>
        <w:t>LGTBI</w:t>
      </w:r>
      <w:r w:rsidR="00A33FE3">
        <w:rPr>
          <w:sz w:val="22"/>
          <w:szCs w:val="22"/>
          <w:lang w:val="es-ES_tradnl"/>
        </w:rPr>
        <w:t>)</w:t>
      </w:r>
      <w:r w:rsidR="00757702">
        <w:rPr>
          <w:sz w:val="22"/>
          <w:szCs w:val="22"/>
          <w:lang w:val="es-ES_tradnl"/>
        </w:rPr>
        <w:t xml:space="preserve">. </w:t>
      </w:r>
      <w:r>
        <w:rPr>
          <w:sz w:val="22"/>
          <w:szCs w:val="22"/>
          <w:lang w:val="es-ES_tradnl"/>
        </w:rPr>
        <w:t xml:space="preserve">En cada </w:t>
      </w:r>
      <w:r w:rsidR="00757702">
        <w:rPr>
          <w:sz w:val="22"/>
          <w:szCs w:val="22"/>
          <w:lang w:val="es-ES_tradnl"/>
        </w:rPr>
        <w:t xml:space="preserve">apartado se plantean </w:t>
      </w:r>
      <w:r w:rsidR="00087E0F">
        <w:rPr>
          <w:sz w:val="22"/>
          <w:szCs w:val="22"/>
          <w:lang w:val="es-ES_tradnl"/>
        </w:rPr>
        <w:t>reflexiones sobre</w:t>
      </w:r>
      <w:r>
        <w:rPr>
          <w:sz w:val="22"/>
          <w:szCs w:val="22"/>
          <w:lang w:val="es-ES_tradnl"/>
        </w:rPr>
        <w:t xml:space="preserve"> </w:t>
      </w:r>
      <w:r w:rsidR="00757702">
        <w:rPr>
          <w:sz w:val="22"/>
          <w:szCs w:val="22"/>
          <w:lang w:val="es-ES_tradnl"/>
        </w:rPr>
        <w:t>los temas abordados en el enunciado</w:t>
      </w:r>
      <w:r w:rsidR="005052D5">
        <w:rPr>
          <w:sz w:val="22"/>
          <w:szCs w:val="22"/>
          <w:lang w:val="es-ES_tradnl"/>
        </w:rPr>
        <w:t xml:space="preserve"> de los mismos</w:t>
      </w:r>
      <w:r>
        <w:rPr>
          <w:sz w:val="22"/>
          <w:szCs w:val="22"/>
          <w:lang w:val="es-ES_tradnl"/>
        </w:rPr>
        <w:t xml:space="preserve"> </w:t>
      </w:r>
      <w:r w:rsidR="00A33FE3">
        <w:rPr>
          <w:sz w:val="22"/>
          <w:szCs w:val="22"/>
          <w:lang w:val="es-ES_tradnl"/>
        </w:rPr>
        <w:t xml:space="preserve">y al </w:t>
      </w:r>
      <w:r>
        <w:rPr>
          <w:sz w:val="22"/>
          <w:szCs w:val="22"/>
          <w:lang w:val="es-ES_tradnl"/>
        </w:rPr>
        <w:t>final de cada apartado existe un recuadro</w:t>
      </w:r>
      <w:r w:rsidR="00A33FE3">
        <w:rPr>
          <w:sz w:val="22"/>
          <w:szCs w:val="22"/>
          <w:lang w:val="es-ES_tradnl"/>
        </w:rPr>
        <w:t xml:space="preserve"> con texto</w:t>
      </w:r>
      <w:r w:rsidR="00757702">
        <w:rPr>
          <w:sz w:val="22"/>
          <w:szCs w:val="22"/>
          <w:lang w:val="es-ES_tradnl"/>
        </w:rPr>
        <w:t xml:space="preserve"> </w:t>
      </w:r>
      <w:r>
        <w:rPr>
          <w:sz w:val="22"/>
          <w:szCs w:val="22"/>
          <w:lang w:val="es-ES_tradnl"/>
        </w:rPr>
        <w:t xml:space="preserve">que </w:t>
      </w:r>
      <w:r w:rsidR="00A33FE3">
        <w:rPr>
          <w:sz w:val="22"/>
          <w:szCs w:val="22"/>
          <w:lang w:val="es-ES_tradnl"/>
        </w:rPr>
        <w:t>resume</w:t>
      </w:r>
      <w:r w:rsidR="00BE7DC1">
        <w:rPr>
          <w:sz w:val="22"/>
          <w:szCs w:val="22"/>
          <w:lang w:val="es-ES_tradnl"/>
        </w:rPr>
        <w:t xml:space="preserve"> </w:t>
      </w:r>
      <w:r w:rsidR="00757702">
        <w:rPr>
          <w:sz w:val="22"/>
          <w:szCs w:val="22"/>
          <w:lang w:val="es-ES_tradnl"/>
        </w:rPr>
        <w:t xml:space="preserve">las </w:t>
      </w:r>
      <w:r w:rsidR="00A33FE3">
        <w:rPr>
          <w:sz w:val="22"/>
          <w:szCs w:val="22"/>
          <w:lang w:val="es-ES_tradnl"/>
        </w:rPr>
        <w:t>propuestas concretas de modificación de la proposición de ley.</w:t>
      </w:r>
      <w:r w:rsidR="00757702">
        <w:rPr>
          <w:sz w:val="22"/>
          <w:szCs w:val="22"/>
          <w:lang w:val="es-ES_tradnl"/>
        </w:rPr>
        <w:t xml:space="preserve"> </w:t>
      </w:r>
    </w:p>
    <w:p w14:paraId="14A90B4F" w14:textId="77777777" w:rsidR="00394E74" w:rsidRPr="00394E74" w:rsidRDefault="00394E74" w:rsidP="00394E74">
      <w:pPr>
        <w:spacing w:afterLines="200" w:after="480" w:line="360" w:lineRule="auto"/>
        <w:jc w:val="both"/>
        <w:rPr>
          <w:sz w:val="22"/>
          <w:szCs w:val="22"/>
          <w:lang w:val="es-ES_tradnl"/>
        </w:rPr>
      </w:pPr>
    </w:p>
    <w:p w14:paraId="34239A42" w14:textId="77777777" w:rsidR="00751E3A" w:rsidRDefault="000E3BD8" w:rsidP="00394E74">
      <w:pPr>
        <w:pStyle w:val="Propio1"/>
        <w:spacing w:afterLines="200" w:after="480"/>
      </w:pPr>
      <w:proofErr w:type="gramStart"/>
      <w:r>
        <w:rPr>
          <w:lang w:val="es-ES_tradnl"/>
        </w:rPr>
        <w:t>EN RELACIÓN A</w:t>
      </w:r>
      <w:proofErr w:type="gramEnd"/>
      <w:r>
        <w:rPr>
          <w:lang w:val="es-ES_tradnl"/>
        </w:rPr>
        <w:t xml:space="preserve"> LOS </w:t>
      </w:r>
      <w:r>
        <w:t xml:space="preserve">ESTADOS INTERSEXUALES </w:t>
      </w:r>
    </w:p>
    <w:p w14:paraId="54E1B788" w14:textId="77777777" w:rsidR="00A53FB2" w:rsidRPr="00394E74" w:rsidRDefault="001470E4" w:rsidP="00394E74">
      <w:pPr>
        <w:pStyle w:val="Propio2"/>
        <w:spacing w:afterLines="200" w:after="480"/>
      </w:pPr>
      <w:proofErr w:type="gramStart"/>
      <w:r>
        <w:t>En relación a</w:t>
      </w:r>
      <w:proofErr w:type="gramEnd"/>
      <w:r>
        <w:t xml:space="preserve"> la relevancia de diferen</w:t>
      </w:r>
      <w:r w:rsidR="006C7D75">
        <w:t>ciar los estados intersexual</w:t>
      </w:r>
      <w:r w:rsidR="00A53FB2">
        <w:t>es</w:t>
      </w:r>
      <w:r w:rsidR="006C7D75">
        <w:t xml:space="preserve"> </w:t>
      </w:r>
      <w:r>
        <w:t xml:space="preserve">de otro tipo </w:t>
      </w:r>
      <w:r w:rsidR="00A53FB2">
        <w:t>de</w:t>
      </w:r>
      <w:r>
        <w:t xml:space="preserve"> disforia </w:t>
      </w:r>
      <w:r w:rsidR="001B2753">
        <w:t>de género.</w:t>
      </w:r>
    </w:p>
    <w:p w14:paraId="724AC946" w14:textId="55ACB860" w:rsidR="00E364EB" w:rsidRDefault="00E364EB" w:rsidP="00394E74">
      <w:pPr>
        <w:spacing w:afterLines="200" w:after="480" w:line="360" w:lineRule="auto"/>
        <w:jc w:val="both"/>
        <w:rPr>
          <w:sz w:val="22"/>
          <w:szCs w:val="22"/>
          <w:lang w:val="es-ES_tradnl"/>
        </w:rPr>
      </w:pPr>
      <w:r>
        <w:rPr>
          <w:sz w:val="22"/>
          <w:szCs w:val="22"/>
          <w:lang w:val="es-ES_tradnl"/>
        </w:rPr>
        <w:t>La versión 10 de la clasificación internacional de enfermedades (CIE-10) de la OMS, vigente desde 1990, incluye los t</w:t>
      </w:r>
      <w:r w:rsidRPr="006E6659">
        <w:rPr>
          <w:sz w:val="22"/>
          <w:szCs w:val="22"/>
          <w:lang w:val="es-ES_tradnl"/>
        </w:rPr>
        <w:t>rastornos de la identidad de género</w:t>
      </w:r>
      <w:r>
        <w:rPr>
          <w:sz w:val="22"/>
          <w:szCs w:val="22"/>
          <w:lang w:val="es-ES_tradnl"/>
        </w:rPr>
        <w:t xml:space="preserve"> en el en el código </w:t>
      </w:r>
      <w:r w:rsidRPr="006E6659">
        <w:rPr>
          <w:sz w:val="22"/>
          <w:szCs w:val="22"/>
          <w:lang w:val="es-ES_tradnl"/>
        </w:rPr>
        <w:t>F64</w:t>
      </w:r>
      <w:r>
        <w:rPr>
          <w:sz w:val="22"/>
          <w:szCs w:val="22"/>
          <w:lang w:val="es-ES_tradnl"/>
        </w:rPr>
        <w:t xml:space="preserve"> que, a su vez, </w:t>
      </w:r>
      <w:r w:rsidR="004946C6">
        <w:rPr>
          <w:sz w:val="22"/>
          <w:szCs w:val="22"/>
          <w:lang w:val="es-ES_tradnl"/>
        </w:rPr>
        <w:t>abarca</w:t>
      </w:r>
      <w:r w:rsidR="004946C6" w:rsidRPr="006E6659">
        <w:rPr>
          <w:sz w:val="22"/>
          <w:szCs w:val="22"/>
          <w:lang w:val="es-ES_tradnl"/>
        </w:rPr>
        <w:t xml:space="preserve"> la</w:t>
      </w:r>
      <w:r>
        <w:rPr>
          <w:sz w:val="22"/>
          <w:szCs w:val="22"/>
          <w:lang w:val="es-ES_tradnl"/>
        </w:rPr>
        <w:t xml:space="preserve"> t</w:t>
      </w:r>
      <w:r w:rsidRPr="006E6659">
        <w:rPr>
          <w:sz w:val="22"/>
          <w:szCs w:val="22"/>
          <w:lang w:val="es-ES_tradnl"/>
        </w:rPr>
        <w:t>ransexualidad</w:t>
      </w:r>
      <w:r>
        <w:rPr>
          <w:sz w:val="22"/>
          <w:szCs w:val="22"/>
          <w:lang w:val="es-ES_tradnl"/>
        </w:rPr>
        <w:t xml:space="preserve"> </w:t>
      </w:r>
      <w:r w:rsidRPr="006E6659">
        <w:rPr>
          <w:sz w:val="22"/>
          <w:szCs w:val="22"/>
          <w:lang w:val="es-ES_tradnl"/>
        </w:rPr>
        <w:t>(F64.0)</w:t>
      </w:r>
      <w:r>
        <w:rPr>
          <w:sz w:val="22"/>
          <w:szCs w:val="22"/>
          <w:lang w:val="es-ES_tradnl"/>
        </w:rPr>
        <w:t>, el tr</w:t>
      </w:r>
      <w:r w:rsidRPr="006E6659">
        <w:rPr>
          <w:sz w:val="22"/>
          <w:szCs w:val="22"/>
          <w:lang w:val="es-ES_tradnl"/>
        </w:rPr>
        <w:t xml:space="preserve">avestismo (F64.1) </w:t>
      </w:r>
      <w:r>
        <w:rPr>
          <w:sz w:val="22"/>
          <w:szCs w:val="22"/>
          <w:lang w:val="es-ES_tradnl"/>
        </w:rPr>
        <w:t>y el t</w:t>
      </w:r>
      <w:r w:rsidRPr="006E6659">
        <w:rPr>
          <w:sz w:val="22"/>
          <w:szCs w:val="22"/>
          <w:lang w:val="es-ES_tradnl"/>
        </w:rPr>
        <w:t>rastorno de identidad de género de la infancia</w:t>
      </w:r>
      <w:r>
        <w:rPr>
          <w:sz w:val="22"/>
          <w:szCs w:val="22"/>
          <w:lang w:val="es-ES_tradnl"/>
        </w:rPr>
        <w:t xml:space="preserve"> (F64.2). En</w:t>
      </w:r>
      <w:r w:rsidRPr="006E6659">
        <w:rPr>
          <w:sz w:val="22"/>
          <w:szCs w:val="22"/>
        </w:rPr>
        <w:t xml:space="preserve"> 2018 la </w:t>
      </w:r>
      <w:r>
        <w:rPr>
          <w:sz w:val="22"/>
          <w:szCs w:val="22"/>
        </w:rPr>
        <w:t xml:space="preserve">OMS publicará una </w:t>
      </w:r>
      <w:r w:rsidRPr="006E6659">
        <w:rPr>
          <w:sz w:val="22"/>
          <w:szCs w:val="22"/>
        </w:rPr>
        <w:t>nueva edición de su manual de enfermedades</w:t>
      </w:r>
      <w:r>
        <w:rPr>
          <w:sz w:val="22"/>
          <w:szCs w:val="22"/>
        </w:rPr>
        <w:t xml:space="preserve"> (CIE-11)</w:t>
      </w:r>
      <w:r w:rsidRPr="006E6659">
        <w:rPr>
          <w:sz w:val="22"/>
          <w:szCs w:val="22"/>
        </w:rPr>
        <w:t xml:space="preserve">, </w:t>
      </w:r>
      <w:r>
        <w:rPr>
          <w:sz w:val="22"/>
          <w:szCs w:val="22"/>
        </w:rPr>
        <w:t xml:space="preserve">en el </w:t>
      </w:r>
      <w:r w:rsidRPr="006E6659">
        <w:rPr>
          <w:sz w:val="22"/>
          <w:szCs w:val="22"/>
        </w:rPr>
        <w:t xml:space="preserve">que </w:t>
      </w:r>
      <w:r>
        <w:rPr>
          <w:sz w:val="22"/>
          <w:szCs w:val="22"/>
        </w:rPr>
        <w:t>l</w:t>
      </w:r>
      <w:r w:rsidRPr="006E6659">
        <w:rPr>
          <w:sz w:val="22"/>
          <w:szCs w:val="22"/>
        </w:rPr>
        <w:t xml:space="preserve">a transexualidad </w:t>
      </w:r>
      <w:r>
        <w:rPr>
          <w:sz w:val="22"/>
          <w:szCs w:val="22"/>
        </w:rPr>
        <w:t>desaparece d</w:t>
      </w:r>
      <w:r w:rsidRPr="006E6659">
        <w:rPr>
          <w:sz w:val="22"/>
          <w:szCs w:val="22"/>
        </w:rPr>
        <w:t>el c</w:t>
      </w:r>
      <w:r>
        <w:rPr>
          <w:sz w:val="22"/>
          <w:szCs w:val="22"/>
        </w:rPr>
        <w:t>apítulo de "</w:t>
      </w:r>
      <w:r w:rsidRPr="002D59C7">
        <w:rPr>
          <w:sz w:val="22"/>
          <w:szCs w:val="22"/>
        </w:rPr>
        <w:t xml:space="preserve">trastornos de la personalidad y el comportamiento" </w:t>
      </w:r>
      <w:r>
        <w:rPr>
          <w:sz w:val="22"/>
          <w:szCs w:val="22"/>
        </w:rPr>
        <w:t>y pasa</w:t>
      </w:r>
      <w:r w:rsidRPr="006E6659">
        <w:rPr>
          <w:sz w:val="22"/>
          <w:szCs w:val="22"/>
        </w:rPr>
        <w:t xml:space="preserve"> al de "condiciones relativas a la salud sexual</w:t>
      </w:r>
      <w:r>
        <w:rPr>
          <w:sz w:val="22"/>
          <w:szCs w:val="22"/>
        </w:rPr>
        <w:t xml:space="preserve">” bajo la denominación </w:t>
      </w:r>
      <w:r w:rsidR="004946C6">
        <w:rPr>
          <w:sz w:val="22"/>
          <w:szCs w:val="22"/>
        </w:rPr>
        <w:t xml:space="preserve">de </w:t>
      </w:r>
      <w:r w:rsidR="004946C6" w:rsidRPr="002D59C7">
        <w:rPr>
          <w:sz w:val="22"/>
          <w:szCs w:val="22"/>
        </w:rPr>
        <w:t>“</w:t>
      </w:r>
      <w:r>
        <w:rPr>
          <w:sz w:val="22"/>
          <w:szCs w:val="22"/>
        </w:rPr>
        <w:t>discordancia</w:t>
      </w:r>
      <w:r w:rsidRPr="002D59C7">
        <w:rPr>
          <w:sz w:val="22"/>
          <w:szCs w:val="22"/>
        </w:rPr>
        <w:t xml:space="preserve"> de género"</w:t>
      </w:r>
      <w:r>
        <w:rPr>
          <w:sz w:val="22"/>
          <w:szCs w:val="22"/>
        </w:rPr>
        <w:t xml:space="preserve">. Esto significa que ya </w:t>
      </w:r>
      <w:r w:rsidRPr="001F4DCE">
        <w:rPr>
          <w:sz w:val="22"/>
          <w:szCs w:val="22"/>
          <w:lang w:val="es-ES_tradnl"/>
        </w:rPr>
        <w:t>no</w:t>
      </w:r>
      <w:r>
        <w:rPr>
          <w:sz w:val="22"/>
          <w:szCs w:val="22"/>
          <w:lang w:val="es-ES_tradnl"/>
        </w:rPr>
        <w:t xml:space="preserve"> se considera</w:t>
      </w:r>
      <w:r w:rsidR="00A33FE3">
        <w:rPr>
          <w:sz w:val="22"/>
          <w:szCs w:val="22"/>
          <w:lang w:val="es-ES_tradnl"/>
        </w:rPr>
        <w:t>rá</w:t>
      </w:r>
      <w:r>
        <w:rPr>
          <w:sz w:val="22"/>
          <w:szCs w:val="22"/>
          <w:lang w:val="es-ES_tradnl"/>
        </w:rPr>
        <w:t xml:space="preserve"> una enfermedad o </w:t>
      </w:r>
      <w:r>
        <w:rPr>
          <w:sz w:val="22"/>
          <w:szCs w:val="22"/>
          <w:lang w:val="es-ES_tradnl"/>
        </w:rPr>
        <w:lastRenderedPageBreak/>
        <w:t xml:space="preserve">patología que requiere </w:t>
      </w:r>
      <w:r w:rsidR="00A33FE3">
        <w:rPr>
          <w:sz w:val="22"/>
          <w:szCs w:val="22"/>
          <w:lang w:val="es-ES_tradnl"/>
        </w:rPr>
        <w:t xml:space="preserve">de </w:t>
      </w:r>
      <w:r>
        <w:rPr>
          <w:sz w:val="22"/>
          <w:szCs w:val="22"/>
          <w:lang w:val="es-ES_tradnl"/>
        </w:rPr>
        <w:t>un</w:t>
      </w:r>
      <w:r w:rsidRPr="001F5CE1">
        <w:rPr>
          <w:sz w:val="22"/>
          <w:szCs w:val="22"/>
          <w:lang w:val="es-ES_tradnl"/>
        </w:rPr>
        <w:t xml:space="preserve"> diagn</w:t>
      </w:r>
      <w:r>
        <w:rPr>
          <w:sz w:val="22"/>
          <w:szCs w:val="22"/>
          <w:lang w:val="es-ES_tradnl"/>
        </w:rPr>
        <w:t>óstico y un tratamiento, si</w:t>
      </w:r>
      <w:r w:rsidRPr="001F4DCE">
        <w:rPr>
          <w:sz w:val="22"/>
          <w:szCs w:val="22"/>
          <w:lang w:val="es-ES_tradnl"/>
        </w:rPr>
        <w:t>no una condición</w:t>
      </w:r>
      <w:r w:rsidR="00A33FE3">
        <w:rPr>
          <w:sz w:val="22"/>
          <w:szCs w:val="22"/>
          <w:lang w:val="es-ES_tradnl"/>
        </w:rPr>
        <w:t xml:space="preserve"> o</w:t>
      </w:r>
      <w:r>
        <w:rPr>
          <w:sz w:val="22"/>
          <w:szCs w:val="22"/>
          <w:lang w:val="es-ES_tradnl"/>
        </w:rPr>
        <w:t xml:space="preserve"> </w:t>
      </w:r>
      <w:r w:rsidRPr="001F4DCE">
        <w:rPr>
          <w:sz w:val="22"/>
          <w:szCs w:val="22"/>
          <w:lang w:val="es-ES_tradnl"/>
        </w:rPr>
        <w:t>término descriptivo</w:t>
      </w:r>
      <w:r>
        <w:rPr>
          <w:sz w:val="22"/>
          <w:szCs w:val="22"/>
          <w:lang w:val="es-ES_tradnl"/>
        </w:rPr>
        <w:t>.</w:t>
      </w:r>
    </w:p>
    <w:p w14:paraId="3A187FB6" w14:textId="77777777" w:rsidR="009905F4" w:rsidRDefault="00E364EB" w:rsidP="00394E74">
      <w:pPr>
        <w:spacing w:afterLines="200" w:after="480" w:line="360" w:lineRule="auto"/>
        <w:jc w:val="both"/>
        <w:rPr>
          <w:sz w:val="22"/>
          <w:szCs w:val="22"/>
          <w:lang w:val="es-ES_tradnl"/>
        </w:rPr>
      </w:pPr>
      <w:r>
        <w:rPr>
          <w:sz w:val="22"/>
          <w:szCs w:val="22"/>
          <w:lang w:val="es-ES_tradnl"/>
        </w:rPr>
        <w:t>Por su parte, el DSM-IV</w:t>
      </w:r>
      <w:r w:rsidRPr="00414102">
        <w:rPr>
          <w:sz w:val="22"/>
          <w:szCs w:val="22"/>
        </w:rPr>
        <w:t xml:space="preserve"> </w:t>
      </w:r>
      <w:r>
        <w:rPr>
          <w:sz w:val="22"/>
          <w:szCs w:val="22"/>
        </w:rPr>
        <w:t xml:space="preserve">(Manual estadístico de los trastornos mentales, versión 4, </w:t>
      </w:r>
      <w:r w:rsidRPr="00E36EDD">
        <w:rPr>
          <w:sz w:val="22"/>
          <w:szCs w:val="22"/>
        </w:rPr>
        <w:t xml:space="preserve">publicado </w:t>
      </w:r>
      <w:r>
        <w:rPr>
          <w:sz w:val="22"/>
          <w:szCs w:val="22"/>
        </w:rPr>
        <w:t xml:space="preserve">en 1994 </w:t>
      </w:r>
      <w:r w:rsidRPr="00E36EDD">
        <w:rPr>
          <w:sz w:val="22"/>
          <w:szCs w:val="22"/>
        </w:rPr>
        <w:t xml:space="preserve">por la Asociación </w:t>
      </w:r>
      <w:r>
        <w:rPr>
          <w:sz w:val="22"/>
          <w:szCs w:val="22"/>
        </w:rPr>
        <w:t>Americana de Psiquiatría) lo denominaba tr</w:t>
      </w:r>
      <w:r w:rsidR="00A33FE3">
        <w:rPr>
          <w:sz w:val="22"/>
          <w:szCs w:val="22"/>
        </w:rPr>
        <w:t>astorno de identidad de género (</w:t>
      </w:r>
      <w:r>
        <w:rPr>
          <w:sz w:val="22"/>
          <w:szCs w:val="22"/>
        </w:rPr>
        <w:t xml:space="preserve">dentro de </w:t>
      </w:r>
      <w:r w:rsidRPr="00E36EDD">
        <w:rPr>
          <w:sz w:val="22"/>
          <w:szCs w:val="22"/>
        </w:rPr>
        <w:t xml:space="preserve">la categoría de </w:t>
      </w:r>
      <w:r>
        <w:rPr>
          <w:sz w:val="22"/>
          <w:szCs w:val="22"/>
        </w:rPr>
        <w:t xml:space="preserve">los </w:t>
      </w:r>
      <w:r w:rsidRPr="00E36EDD">
        <w:rPr>
          <w:sz w:val="22"/>
          <w:szCs w:val="22"/>
        </w:rPr>
        <w:t>trastornos sexuales</w:t>
      </w:r>
      <w:r w:rsidR="00A33FE3">
        <w:rPr>
          <w:sz w:val="22"/>
          <w:szCs w:val="22"/>
        </w:rPr>
        <w:t>)</w:t>
      </w:r>
      <w:r>
        <w:rPr>
          <w:sz w:val="22"/>
          <w:szCs w:val="22"/>
        </w:rPr>
        <w:t>. Recientemente, en 2013, la versión 5 del Manual (DSM-5</w:t>
      </w:r>
      <w:r w:rsidRPr="00E36EDD">
        <w:rPr>
          <w:sz w:val="22"/>
          <w:szCs w:val="22"/>
        </w:rPr>
        <w:t xml:space="preserve">) </w:t>
      </w:r>
      <w:r>
        <w:rPr>
          <w:sz w:val="22"/>
          <w:szCs w:val="22"/>
        </w:rPr>
        <w:t xml:space="preserve">lo ha </w:t>
      </w:r>
      <w:r w:rsidR="00A33FE3">
        <w:rPr>
          <w:sz w:val="22"/>
          <w:szCs w:val="22"/>
        </w:rPr>
        <w:t>reclasificado,</w:t>
      </w:r>
      <w:r>
        <w:rPr>
          <w:sz w:val="22"/>
          <w:szCs w:val="22"/>
        </w:rPr>
        <w:t xml:space="preserve"> incluyéndolo en una </w:t>
      </w:r>
      <w:r w:rsidR="00A33FE3">
        <w:rPr>
          <w:sz w:val="22"/>
          <w:szCs w:val="22"/>
        </w:rPr>
        <w:t xml:space="preserve">categoría </w:t>
      </w:r>
      <w:r>
        <w:rPr>
          <w:sz w:val="22"/>
          <w:szCs w:val="22"/>
        </w:rPr>
        <w:t>propia</w:t>
      </w:r>
      <w:r w:rsidRPr="00E36EDD">
        <w:rPr>
          <w:sz w:val="22"/>
          <w:szCs w:val="22"/>
        </w:rPr>
        <w:t xml:space="preserve"> </w:t>
      </w:r>
      <w:r>
        <w:rPr>
          <w:sz w:val="22"/>
          <w:szCs w:val="22"/>
        </w:rPr>
        <w:t>bajo la denominación de “</w:t>
      </w:r>
      <w:r w:rsidRPr="00E36EDD">
        <w:rPr>
          <w:sz w:val="22"/>
          <w:szCs w:val="22"/>
        </w:rPr>
        <w:t>disforia de género</w:t>
      </w:r>
      <w:r>
        <w:rPr>
          <w:sz w:val="22"/>
          <w:szCs w:val="22"/>
        </w:rPr>
        <w:t>”. Esto</w:t>
      </w:r>
      <w:r w:rsidRPr="00E36EDD">
        <w:rPr>
          <w:sz w:val="22"/>
          <w:szCs w:val="22"/>
        </w:rPr>
        <w:t xml:space="preserve"> </w:t>
      </w:r>
      <w:r>
        <w:rPr>
          <w:sz w:val="22"/>
          <w:szCs w:val="22"/>
        </w:rPr>
        <w:t>significa que ya</w:t>
      </w:r>
      <w:r w:rsidRPr="00E36EDD">
        <w:rPr>
          <w:sz w:val="22"/>
          <w:szCs w:val="22"/>
        </w:rPr>
        <w:t xml:space="preserve"> no constituye </w:t>
      </w:r>
      <w:r w:rsidR="00A33FE3">
        <w:rPr>
          <w:sz w:val="22"/>
          <w:szCs w:val="22"/>
        </w:rPr>
        <w:t xml:space="preserve">una </w:t>
      </w:r>
      <w:r w:rsidRPr="00E36EDD">
        <w:rPr>
          <w:sz w:val="22"/>
          <w:szCs w:val="22"/>
        </w:rPr>
        <w:t xml:space="preserve">enfermedad mental </w:t>
      </w:r>
      <w:r w:rsidR="00A33FE3">
        <w:rPr>
          <w:sz w:val="22"/>
          <w:szCs w:val="22"/>
        </w:rPr>
        <w:t>por</w:t>
      </w:r>
      <w:r w:rsidRPr="00E36EDD">
        <w:rPr>
          <w:sz w:val="22"/>
          <w:szCs w:val="22"/>
        </w:rPr>
        <w:t xml:space="preserve"> sí mism</w:t>
      </w:r>
      <w:r w:rsidR="00A33FE3">
        <w:rPr>
          <w:sz w:val="22"/>
          <w:szCs w:val="22"/>
        </w:rPr>
        <w:t>o</w:t>
      </w:r>
      <w:r w:rsidRPr="00E36EDD">
        <w:rPr>
          <w:sz w:val="22"/>
          <w:szCs w:val="22"/>
        </w:rPr>
        <w:t xml:space="preserve">, sino que su </w:t>
      </w:r>
      <w:r>
        <w:rPr>
          <w:sz w:val="22"/>
          <w:szCs w:val="22"/>
        </w:rPr>
        <w:t xml:space="preserve">característica fundamental </w:t>
      </w:r>
      <w:r w:rsidRPr="00E36EDD">
        <w:rPr>
          <w:sz w:val="22"/>
          <w:szCs w:val="22"/>
        </w:rPr>
        <w:t>es la presencia de malestar clínicamente significativo aso</w:t>
      </w:r>
      <w:r>
        <w:rPr>
          <w:sz w:val="22"/>
          <w:szCs w:val="22"/>
        </w:rPr>
        <w:t>ciado a la condición de género; es decir, al</w:t>
      </w:r>
      <w:r w:rsidR="00A33FE3">
        <w:rPr>
          <w:sz w:val="22"/>
          <w:szCs w:val="22"/>
          <w:lang w:val="es-ES_tradnl"/>
        </w:rPr>
        <w:t xml:space="preserve"> </w:t>
      </w:r>
      <w:proofErr w:type="spellStart"/>
      <w:r w:rsidR="00A33FE3">
        <w:rPr>
          <w:sz w:val="22"/>
          <w:szCs w:val="22"/>
          <w:lang w:val="es-ES_tradnl"/>
        </w:rPr>
        <w:t>distres</w:t>
      </w:r>
      <w:r w:rsidRPr="006E6659">
        <w:rPr>
          <w:sz w:val="22"/>
          <w:szCs w:val="22"/>
          <w:lang w:val="es-ES_tradnl"/>
        </w:rPr>
        <w:t>s</w:t>
      </w:r>
      <w:proofErr w:type="spellEnd"/>
      <w:r w:rsidRPr="006E6659">
        <w:rPr>
          <w:sz w:val="22"/>
          <w:szCs w:val="22"/>
          <w:lang w:val="es-ES_tradnl"/>
        </w:rPr>
        <w:t xml:space="preserve"> debido a la discordancia entre su sexo asignado al nacer, con el que no se identifican ni sienten como propio, y su identidad de g</w:t>
      </w:r>
      <w:r>
        <w:rPr>
          <w:sz w:val="22"/>
          <w:szCs w:val="22"/>
          <w:lang w:val="es-ES_tradnl"/>
        </w:rPr>
        <w:t>énero.</w:t>
      </w:r>
    </w:p>
    <w:p w14:paraId="58E83791" w14:textId="77777777" w:rsidR="003B23EE" w:rsidRDefault="003B23EE" w:rsidP="00394E74">
      <w:pPr>
        <w:spacing w:afterLines="200" w:after="480" w:line="360" w:lineRule="auto"/>
        <w:jc w:val="both"/>
        <w:rPr>
          <w:sz w:val="22"/>
          <w:szCs w:val="22"/>
          <w:lang w:val="es-ES_tradnl"/>
        </w:rPr>
      </w:pPr>
      <w:r w:rsidRPr="00342957">
        <w:rPr>
          <w:sz w:val="22"/>
          <w:szCs w:val="22"/>
          <w:lang w:val="es-ES_tradnl"/>
        </w:rPr>
        <w:t xml:space="preserve">En 2006, la </w:t>
      </w:r>
      <w:proofErr w:type="spellStart"/>
      <w:r w:rsidRPr="00342957">
        <w:rPr>
          <w:sz w:val="22"/>
          <w:szCs w:val="22"/>
          <w:lang w:val="es-ES_tradnl"/>
        </w:rPr>
        <w:t>Lawson</w:t>
      </w:r>
      <w:proofErr w:type="spellEnd"/>
      <w:r w:rsidRPr="00342957">
        <w:rPr>
          <w:sz w:val="22"/>
          <w:szCs w:val="22"/>
          <w:lang w:val="es-ES_tradnl"/>
        </w:rPr>
        <w:t xml:space="preserve"> </w:t>
      </w:r>
      <w:proofErr w:type="spellStart"/>
      <w:r w:rsidRPr="00342957">
        <w:rPr>
          <w:sz w:val="22"/>
          <w:szCs w:val="22"/>
          <w:lang w:val="es-ES_tradnl"/>
        </w:rPr>
        <w:t>Wilkins</w:t>
      </w:r>
      <w:proofErr w:type="spellEnd"/>
      <w:r w:rsidRPr="00342957">
        <w:rPr>
          <w:sz w:val="22"/>
          <w:szCs w:val="22"/>
          <w:lang w:val="es-ES_tradnl"/>
        </w:rPr>
        <w:t xml:space="preserve"> </w:t>
      </w:r>
      <w:proofErr w:type="spellStart"/>
      <w:r w:rsidRPr="00342957">
        <w:rPr>
          <w:sz w:val="22"/>
          <w:szCs w:val="22"/>
          <w:lang w:val="es-ES_tradnl"/>
        </w:rPr>
        <w:t>Pediatric</w:t>
      </w:r>
      <w:proofErr w:type="spellEnd"/>
      <w:r w:rsidRPr="00342957">
        <w:rPr>
          <w:sz w:val="22"/>
          <w:szCs w:val="22"/>
          <w:lang w:val="es-ES_tradnl"/>
        </w:rPr>
        <w:t xml:space="preserve"> </w:t>
      </w:r>
      <w:proofErr w:type="spellStart"/>
      <w:r w:rsidRPr="00342957">
        <w:rPr>
          <w:sz w:val="22"/>
          <w:szCs w:val="22"/>
          <w:lang w:val="es-ES_tradnl"/>
        </w:rPr>
        <w:t>Endocrine</w:t>
      </w:r>
      <w:proofErr w:type="spellEnd"/>
      <w:r w:rsidRPr="00342957">
        <w:rPr>
          <w:sz w:val="22"/>
          <w:szCs w:val="22"/>
          <w:lang w:val="es-ES_tradnl"/>
        </w:rPr>
        <w:t xml:space="preserve"> </w:t>
      </w:r>
      <w:proofErr w:type="spellStart"/>
      <w:r w:rsidRPr="00342957">
        <w:rPr>
          <w:sz w:val="22"/>
          <w:szCs w:val="22"/>
          <w:lang w:val="es-ES_tradnl"/>
        </w:rPr>
        <w:t>Society</w:t>
      </w:r>
      <w:proofErr w:type="spellEnd"/>
      <w:r w:rsidRPr="00342957">
        <w:rPr>
          <w:sz w:val="22"/>
          <w:szCs w:val="22"/>
          <w:lang w:val="es-ES_tradnl"/>
        </w:rPr>
        <w:t xml:space="preserve"> (LWPES) y la </w:t>
      </w:r>
      <w:proofErr w:type="spellStart"/>
      <w:r w:rsidRPr="00342957">
        <w:rPr>
          <w:sz w:val="22"/>
          <w:szCs w:val="22"/>
          <w:lang w:val="es-ES_tradnl"/>
        </w:rPr>
        <w:t>European</w:t>
      </w:r>
      <w:proofErr w:type="spellEnd"/>
      <w:r w:rsidRPr="00342957">
        <w:rPr>
          <w:sz w:val="22"/>
          <w:szCs w:val="22"/>
          <w:lang w:val="es-ES_tradnl"/>
        </w:rPr>
        <w:t xml:space="preserve"> </w:t>
      </w:r>
      <w:proofErr w:type="spellStart"/>
      <w:r w:rsidRPr="00342957">
        <w:rPr>
          <w:sz w:val="22"/>
          <w:szCs w:val="22"/>
          <w:lang w:val="es-ES_tradnl"/>
        </w:rPr>
        <w:t>Society</w:t>
      </w:r>
      <w:proofErr w:type="spellEnd"/>
      <w:r w:rsidRPr="00342957">
        <w:rPr>
          <w:sz w:val="22"/>
          <w:szCs w:val="22"/>
          <w:lang w:val="es-ES_tradnl"/>
        </w:rPr>
        <w:t xml:space="preserve"> </w:t>
      </w:r>
      <w:proofErr w:type="spellStart"/>
      <w:r w:rsidRPr="00342957">
        <w:rPr>
          <w:sz w:val="22"/>
          <w:szCs w:val="22"/>
          <w:lang w:val="es-ES_tradnl"/>
        </w:rPr>
        <w:t>for</w:t>
      </w:r>
      <w:proofErr w:type="spellEnd"/>
      <w:r w:rsidRPr="00342957">
        <w:rPr>
          <w:sz w:val="22"/>
          <w:szCs w:val="22"/>
          <w:lang w:val="es-ES_tradnl"/>
        </w:rPr>
        <w:t xml:space="preserve"> </w:t>
      </w:r>
      <w:proofErr w:type="spellStart"/>
      <w:r w:rsidRPr="00342957">
        <w:rPr>
          <w:sz w:val="22"/>
          <w:szCs w:val="22"/>
          <w:lang w:val="es-ES_tradnl"/>
        </w:rPr>
        <w:t>Paediatric</w:t>
      </w:r>
      <w:proofErr w:type="spellEnd"/>
      <w:r w:rsidRPr="00342957">
        <w:rPr>
          <w:sz w:val="22"/>
          <w:szCs w:val="22"/>
          <w:lang w:val="es-ES_tradnl"/>
        </w:rPr>
        <w:t xml:space="preserve"> </w:t>
      </w:r>
      <w:proofErr w:type="spellStart"/>
      <w:r w:rsidRPr="00342957">
        <w:rPr>
          <w:sz w:val="22"/>
          <w:szCs w:val="22"/>
          <w:lang w:val="es-ES_tradnl"/>
        </w:rPr>
        <w:t>Endocrinology</w:t>
      </w:r>
      <w:proofErr w:type="spellEnd"/>
      <w:r w:rsidRPr="00342957">
        <w:rPr>
          <w:sz w:val="22"/>
          <w:szCs w:val="22"/>
          <w:lang w:val="es-ES_tradnl"/>
        </w:rPr>
        <w:t xml:space="preserve"> (ESPE) publicaron un estudio sobre desórdenes intersexuales con el objetivo de elegir una terminología que </w:t>
      </w:r>
      <w:r>
        <w:rPr>
          <w:sz w:val="22"/>
          <w:szCs w:val="22"/>
          <w:lang w:val="es-ES_tradnl"/>
        </w:rPr>
        <w:t>fuese</w:t>
      </w:r>
      <w:r w:rsidRPr="00342957">
        <w:rPr>
          <w:sz w:val="22"/>
          <w:szCs w:val="22"/>
          <w:lang w:val="es-ES_tradnl"/>
        </w:rPr>
        <w:t xml:space="preserve"> más descriptiva </w:t>
      </w:r>
      <w:r>
        <w:rPr>
          <w:sz w:val="22"/>
          <w:szCs w:val="22"/>
          <w:lang w:val="es-ES_tradnl"/>
        </w:rPr>
        <w:t>y desprovista</w:t>
      </w:r>
      <w:r w:rsidRPr="00342957">
        <w:rPr>
          <w:sz w:val="22"/>
          <w:szCs w:val="22"/>
          <w:lang w:val="es-ES_tradnl"/>
        </w:rPr>
        <w:t xml:space="preserve"> de carga peyorativa. </w:t>
      </w:r>
      <w:r>
        <w:rPr>
          <w:sz w:val="22"/>
          <w:szCs w:val="22"/>
          <w:lang w:val="es-ES_tradnl"/>
        </w:rPr>
        <w:t xml:space="preserve">Por ello acordaron incluir las enfermedades asociadas a estados intersexuales dentro del concepto </w:t>
      </w:r>
      <w:r w:rsidRPr="00342957">
        <w:rPr>
          <w:sz w:val="22"/>
          <w:szCs w:val="22"/>
          <w:lang w:val="es-ES_tradnl"/>
        </w:rPr>
        <w:t>"</w:t>
      </w:r>
      <w:proofErr w:type="spellStart"/>
      <w:r>
        <w:rPr>
          <w:sz w:val="22"/>
          <w:szCs w:val="22"/>
          <w:lang w:val="es-ES_tradnl"/>
        </w:rPr>
        <w:t>D</w:t>
      </w:r>
      <w:r w:rsidRPr="00342957">
        <w:rPr>
          <w:sz w:val="22"/>
          <w:szCs w:val="22"/>
          <w:lang w:val="es-ES_tradnl"/>
        </w:rPr>
        <w:t>isorders</w:t>
      </w:r>
      <w:proofErr w:type="spellEnd"/>
      <w:r w:rsidRPr="00342957">
        <w:rPr>
          <w:sz w:val="22"/>
          <w:szCs w:val="22"/>
          <w:lang w:val="es-ES_tradnl"/>
        </w:rPr>
        <w:t xml:space="preserve"> </w:t>
      </w:r>
      <w:proofErr w:type="spellStart"/>
      <w:r w:rsidRPr="00342957">
        <w:rPr>
          <w:sz w:val="22"/>
          <w:szCs w:val="22"/>
          <w:lang w:val="es-ES_tradnl"/>
        </w:rPr>
        <w:t>of</w:t>
      </w:r>
      <w:proofErr w:type="spellEnd"/>
      <w:r w:rsidRPr="00342957">
        <w:rPr>
          <w:sz w:val="22"/>
          <w:szCs w:val="22"/>
          <w:lang w:val="es-ES_tradnl"/>
        </w:rPr>
        <w:t xml:space="preserve"> </w:t>
      </w:r>
      <w:r>
        <w:rPr>
          <w:sz w:val="22"/>
          <w:szCs w:val="22"/>
          <w:lang w:val="es-ES_tradnl"/>
        </w:rPr>
        <w:t>S</w:t>
      </w:r>
      <w:r w:rsidRPr="00342957">
        <w:rPr>
          <w:sz w:val="22"/>
          <w:szCs w:val="22"/>
          <w:lang w:val="es-ES_tradnl"/>
        </w:rPr>
        <w:t xml:space="preserve">ex </w:t>
      </w:r>
      <w:proofErr w:type="spellStart"/>
      <w:r>
        <w:rPr>
          <w:sz w:val="22"/>
          <w:szCs w:val="22"/>
          <w:lang w:val="es-ES_tradnl"/>
        </w:rPr>
        <w:t>D</w:t>
      </w:r>
      <w:r w:rsidRPr="00342957">
        <w:rPr>
          <w:sz w:val="22"/>
          <w:szCs w:val="22"/>
          <w:lang w:val="es-ES_tradnl"/>
        </w:rPr>
        <w:t>evelopment</w:t>
      </w:r>
      <w:proofErr w:type="spellEnd"/>
      <w:r w:rsidRPr="00342957">
        <w:rPr>
          <w:sz w:val="22"/>
          <w:szCs w:val="22"/>
          <w:lang w:val="es-ES_tradnl"/>
        </w:rPr>
        <w:t xml:space="preserve"> (DSD)"; en español: "trastornos del desarrollo sexual".</w:t>
      </w:r>
      <w:r>
        <w:rPr>
          <w:sz w:val="22"/>
          <w:szCs w:val="22"/>
          <w:lang w:val="es-ES_tradnl"/>
        </w:rPr>
        <w:t xml:space="preserve">  </w:t>
      </w:r>
    </w:p>
    <w:p w14:paraId="5FA89655" w14:textId="77777777" w:rsidR="009905F4" w:rsidRDefault="001B2753" w:rsidP="00394E74">
      <w:pPr>
        <w:spacing w:afterLines="200" w:after="480" w:line="360" w:lineRule="auto"/>
        <w:jc w:val="both"/>
        <w:rPr>
          <w:sz w:val="22"/>
          <w:szCs w:val="22"/>
          <w:lang w:val="es-ES_tradnl"/>
        </w:rPr>
      </w:pPr>
      <w:r>
        <w:rPr>
          <w:sz w:val="22"/>
          <w:szCs w:val="22"/>
          <w:lang w:val="es-ES_tradnl"/>
        </w:rPr>
        <w:t>E</w:t>
      </w:r>
      <w:r w:rsidR="00B85C65" w:rsidRPr="00B85C65">
        <w:rPr>
          <w:sz w:val="22"/>
          <w:szCs w:val="22"/>
          <w:lang w:val="es-ES_tradnl"/>
        </w:rPr>
        <w:t>l hecho de elaborar un documento incluyendo</w:t>
      </w:r>
      <w:r w:rsidR="00757702">
        <w:rPr>
          <w:sz w:val="22"/>
          <w:szCs w:val="22"/>
          <w:lang w:val="es-ES_tradnl"/>
        </w:rPr>
        <w:t xml:space="preserve"> a diversos colectivos</w:t>
      </w:r>
      <w:r w:rsidR="00450157">
        <w:rPr>
          <w:sz w:val="22"/>
          <w:szCs w:val="22"/>
          <w:lang w:val="es-ES_tradnl"/>
        </w:rPr>
        <w:t xml:space="preserve"> bajo</w:t>
      </w:r>
      <w:r>
        <w:rPr>
          <w:sz w:val="22"/>
          <w:szCs w:val="22"/>
          <w:lang w:val="es-ES_tradnl"/>
        </w:rPr>
        <w:t xml:space="preserve"> las siglas </w:t>
      </w:r>
      <w:r w:rsidR="00B85C65">
        <w:rPr>
          <w:sz w:val="22"/>
          <w:szCs w:val="22"/>
          <w:lang w:val="es-ES_tradnl"/>
        </w:rPr>
        <w:t>LGBTI</w:t>
      </w:r>
      <w:r w:rsidR="00450157">
        <w:rPr>
          <w:sz w:val="22"/>
          <w:szCs w:val="22"/>
          <w:lang w:val="es-ES_tradnl"/>
        </w:rPr>
        <w:t xml:space="preserve">, </w:t>
      </w:r>
      <w:r w:rsidR="00087E0F" w:rsidRPr="00B85C65">
        <w:rPr>
          <w:sz w:val="22"/>
          <w:szCs w:val="22"/>
          <w:lang w:val="es-ES_tradnl"/>
        </w:rPr>
        <w:t>pudiera</w:t>
      </w:r>
      <w:r w:rsidR="00450157">
        <w:rPr>
          <w:sz w:val="22"/>
          <w:szCs w:val="22"/>
          <w:lang w:val="es-ES_tradnl"/>
        </w:rPr>
        <w:t>, per se</w:t>
      </w:r>
      <w:r w:rsidR="00087E0F">
        <w:rPr>
          <w:sz w:val="22"/>
          <w:szCs w:val="22"/>
          <w:lang w:val="es-ES_tradnl"/>
        </w:rPr>
        <w:t>, ser</w:t>
      </w:r>
      <w:r w:rsidR="00B85C65">
        <w:rPr>
          <w:sz w:val="22"/>
          <w:szCs w:val="22"/>
          <w:lang w:val="es-ES_tradnl"/>
        </w:rPr>
        <w:t xml:space="preserve"> inadecuado</w:t>
      </w:r>
      <w:r w:rsidR="00A53FB2">
        <w:rPr>
          <w:sz w:val="22"/>
          <w:szCs w:val="22"/>
          <w:lang w:val="es-ES_tradnl"/>
        </w:rPr>
        <w:t>,</w:t>
      </w:r>
      <w:r w:rsidR="00B85C65">
        <w:rPr>
          <w:sz w:val="22"/>
          <w:szCs w:val="22"/>
          <w:lang w:val="es-ES_tradnl"/>
        </w:rPr>
        <w:t xml:space="preserve"> </w:t>
      </w:r>
      <w:r w:rsidR="004051E0">
        <w:rPr>
          <w:sz w:val="22"/>
          <w:szCs w:val="22"/>
          <w:lang w:val="es-ES_tradnl"/>
        </w:rPr>
        <w:t xml:space="preserve">debido a </w:t>
      </w:r>
      <w:r w:rsidR="00B85C65">
        <w:rPr>
          <w:sz w:val="22"/>
          <w:szCs w:val="22"/>
          <w:lang w:val="es-ES_tradnl"/>
        </w:rPr>
        <w:t>que determinad</w:t>
      </w:r>
      <w:r w:rsidR="004051E0">
        <w:rPr>
          <w:sz w:val="22"/>
          <w:szCs w:val="22"/>
          <w:lang w:val="es-ES_tradnl"/>
        </w:rPr>
        <w:t>a</w:t>
      </w:r>
      <w:r w:rsidR="00B85C65">
        <w:rPr>
          <w:sz w:val="22"/>
          <w:szCs w:val="22"/>
          <w:lang w:val="es-ES_tradnl"/>
        </w:rPr>
        <w:t>s personas con disforia de género o patología sexual pudieran considerar que no deberían</w:t>
      </w:r>
      <w:r w:rsidR="004051E0">
        <w:rPr>
          <w:sz w:val="22"/>
          <w:szCs w:val="22"/>
          <w:lang w:val="es-ES_tradnl"/>
        </w:rPr>
        <w:t xml:space="preserve"> </w:t>
      </w:r>
      <w:r w:rsidR="00BE7DC1">
        <w:rPr>
          <w:sz w:val="22"/>
          <w:szCs w:val="22"/>
          <w:lang w:val="es-ES_tradnl"/>
        </w:rPr>
        <w:t>inclui</w:t>
      </w:r>
      <w:r w:rsidR="004051E0">
        <w:rPr>
          <w:sz w:val="22"/>
          <w:szCs w:val="22"/>
          <w:lang w:val="es-ES_tradnl"/>
        </w:rPr>
        <w:t>rse</w:t>
      </w:r>
      <w:r w:rsidR="00B85C65">
        <w:rPr>
          <w:sz w:val="22"/>
          <w:szCs w:val="22"/>
          <w:lang w:val="es-ES_tradnl"/>
        </w:rPr>
        <w:t xml:space="preserve"> dentro de </w:t>
      </w:r>
      <w:r w:rsidR="00450157">
        <w:rPr>
          <w:sz w:val="22"/>
          <w:szCs w:val="22"/>
          <w:lang w:val="es-ES_tradnl"/>
        </w:rPr>
        <w:t xml:space="preserve">ese </w:t>
      </w:r>
      <w:r w:rsidR="00B85C65">
        <w:rPr>
          <w:sz w:val="22"/>
          <w:szCs w:val="22"/>
          <w:lang w:val="es-ES_tradnl"/>
        </w:rPr>
        <w:t>colectivo</w:t>
      </w:r>
      <w:r w:rsidR="00A53FB2">
        <w:rPr>
          <w:sz w:val="22"/>
          <w:szCs w:val="22"/>
          <w:lang w:val="es-ES_tradnl"/>
        </w:rPr>
        <w:t>.</w:t>
      </w:r>
      <w:r w:rsidR="009905F4">
        <w:rPr>
          <w:sz w:val="22"/>
          <w:szCs w:val="22"/>
          <w:lang w:val="es-ES_tradnl"/>
        </w:rPr>
        <w:t xml:space="preserve"> </w:t>
      </w:r>
      <w:r w:rsidR="00B85C65">
        <w:rPr>
          <w:sz w:val="22"/>
          <w:szCs w:val="22"/>
          <w:lang w:val="es-ES_tradnl"/>
        </w:rPr>
        <w:t>El elemento más discordante es incluir a personas inters</w:t>
      </w:r>
      <w:r w:rsidR="00450157">
        <w:rPr>
          <w:sz w:val="22"/>
          <w:szCs w:val="22"/>
          <w:lang w:val="es-ES_tradnl"/>
        </w:rPr>
        <w:t>exuales dentro de</w:t>
      </w:r>
      <w:r w:rsidR="009905F4">
        <w:rPr>
          <w:sz w:val="22"/>
          <w:szCs w:val="22"/>
          <w:lang w:val="es-ES_tradnl"/>
        </w:rPr>
        <w:t>l mismo</w:t>
      </w:r>
      <w:r w:rsidR="00B85C65">
        <w:rPr>
          <w:sz w:val="22"/>
          <w:szCs w:val="22"/>
          <w:lang w:val="es-ES_tradnl"/>
        </w:rPr>
        <w:t xml:space="preserve">. </w:t>
      </w:r>
    </w:p>
    <w:p w14:paraId="619C20DB" w14:textId="26324C3F" w:rsidR="00E364EB" w:rsidRDefault="00B85C65" w:rsidP="00394E74">
      <w:pPr>
        <w:spacing w:afterLines="200" w:after="480" w:line="360" w:lineRule="auto"/>
        <w:jc w:val="both"/>
        <w:rPr>
          <w:sz w:val="22"/>
          <w:szCs w:val="22"/>
          <w:lang w:val="es-ES_tradnl"/>
        </w:rPr>
      </w:pPr>
      <w:r>
        <w:rPr>
          <w:sz w:val="22"/>
          <w:szCs w:val="22"/>
          <w:lang w:val="es-ES_tradnl"/>
        </w:rPr>
        <w:t>Aunque</w:t>
      </w:r>
      <w:r w:rsidR="004051E0">
        <w:rPr>
          <w:sz w:val="22"/>
          <w:szCs w:val="22"/>
          <w:lang w:val="es-ES_tradnl"/>
        </w:rPr>
        <w:t xml:space="preserve"> </w:t>
      </w:r>
      <w:r>
        <w:rPr>
          <w:sz w:val="22"/>
          <w:szCs w:val="22"/>
          <w:lang w:val="es-ES_tradnl"/>
        </w:rPr>
        <w:t xml:space="preserve">las siglas LGBTI son reconocidas en el ámbito </w:t>
      </w:r>
      <w:r w:rsidR="004946C6">
        <w:rPr>
          <w:sz w:val="22"/>
          <w:szCs w:val="22"/>
          <w:lang w:val="es-ES_tradnl"/>
        </w:rPr>
        <w:t>popular, incluyen</w:t>
      </w:r>
      <w:r w:rsidR="00A53FB2">
        <w:rPr>
          <w:sz w:val="22"/>
          <w:szCs w:val="22"/>
          <w:lang w:val="es-ES_tradnl"/>
        </w:rPr>
        <w:t xml:space="preserve"> </w:t>
      </w:r>
      <w:r w:rsidR="004051E0">
        <w:rPr>
          <w:sz w:val="22"/>
          <w:szCs w:val="22"/>
          <w:lang w:val="es-ES_tradnl"/>
        </w:rPr>
        <w:t xml:space="preserve">junto a personas con disforia de género no patológicas </w:t>
      </w:r>
      <w:r>
        <w:rPr>
          <w:sz w:val="22"/>
          <w:szCs w:val="22"/>
          <w:lang w:val="es-ES_tradnl"/>
        </w:rPr>
        <w:t xml:space="preserve">a </w:t>
      </w:r>
      <w:r w:rsidR="004051E0">
        <w:rPr>
          <w:sz w:val="22"/>
          <w:szCs w:val="22"/>
          <w:lang w:val="es-ES_tradnl"/>
        </w:rPr>
        <w:t xml:space="preserve">otras </w:t>
      </w:r>
      <w:r>
        <w:rPr>
          <w:sz w:val="22"/>
          <w:szCs w:val="22"/>
          <w:lang w:val="es-ES_tradnl"/>
        </w:rPr>
        <w:t xml:space="preserve">personas </w:t>
      </w:r>
      <w:r w:rsidR="00087E0F">
        <w:rPr>
          <w:sz w:val="22"/>
          <w:szCs w:val="22"/>
          <w:lang w:val="es-ES_tradnl"/>
        </w:rPr>
        <w:t>con patologías</w:t>
      </w:r>
      <w:r w:rsidR="00757702">
        <w:rPr>
          <w:sz w:val="22"/>
          <w:szCs w:val="22"/>
          <w:lang w:val="es-ES_tradnl"/>
        </w:rPr>
        <w:t xml:space="preserve"> médicas definidas</w:t>
      </w:r>
      <w:r w:rsidR="004051E0">
        <w:rPr>
          <w:sz w:val="22"/>
          <w:szCs w:val="22"/>
          <w:lang w:val="es-ES_tradnl"/>
        </w:rPr>
        <w:t>,</w:t>
      </w:r>
      <w:r>
        <w:rPr>
          <w:sz w:val="22"/>
          <w:szCs w:val="22"/>
          <w:lang w:val="es-ES_tradnl"/>
        </w:rPr>
        <w:t xml:space="preserve"> </w:t>
      </w:r>
      <w:r w:rsidR="005052D5">
        <w:rPr>
          <w:sz w:val="22"/>
          <w:szCs w:val="22"/>
          <w:lang w:val="es-ES_tradnl"/>
        </w:rPr>
        <w:t>como son estados intersexuales (</w:t>
      </w:r>
      <w:r>
        <w:rPr>
          <w:sz w:val="22"/>
          <w:szCs w:val="22"/>
          <w:lang w:val="es-ES_tradnl"/>
        </w:rPr>
        <w:t>Síndrome de Klinefe</w:t>
      </w:r>
      <w:r w:rsidR="00B744E4">
        <w:rPr>
          <w:sz w:val="22"/>
          <w:szCs w:val="22"/>
          <w:lang w:val="es-ES_tradnl"/>
        </w:rPr>
        <w:t xml:space="preserve">lter, síndrome de Turner, </w:t>
      </w:r>
      <w:proofErr w:type="spellStart"/>
      <w:r w:rsidR="00B744E4">
        <w:rPr>
          <w:sz w:val="22"/>
          <w:szCs w:val="22"/>
          <w:lang w:val="es-ES_tradnl"/>
        </w:rPr>
        <w:t>disgne</w:t>
      </w:r>
      <w:r>
        <w:rPr>
          <w:sz w:val="22"/>
          <w:szCs w:val="22"/>
          <w:lang w:val="es-ES_tradnl"/>
        </w:rPr>
        <w:t>si</w:t>
      </w:r>
      <w:r w:rsidR="00B744E4">
        <w:rPr>
          <w:sz w:val="22"/>
          <w:szCs w:val="22"/>
          <w:lang w:val="es-ES_tradnl"/>
        </w:rPr>
        <w:t>a</w:t>
      </w:r>
      <w:r>
        <w:rPr>
          <w:sz w:val="22"/>
          <w:szCs w:val="22"/>
          <w:lang w:val="es-ES_tradnl"/>
        </w:rPr>
        <w:t>s</w:t>
      </w:r>
      <w:proofErr w:type="spellEnd"/>
      <w:r>
        <w:rPr>
          <w:sz w:val="22"/>
          <w:szCs w:val="22"/>
          <w:lang w:val="es-ES_tradnl"/>
        </w:rPr>
        <w:t xml:space="preserve"> gonadales, </w:t>
      </w:r>
      <w:r w:rsidR="00BE7DC1">
        <w:rPr>
          <w:sz w:val="22"/>
          <w:szCs w:val="22"/>
          <w:lang w:val="es-ES_tradnl"/>
        </w:rPr>
        <w:t>h</w:t>
      </w:r>
      <w:r w:rsidR="005E72ED">
        <w:rPr>
          <w:sz w:val="22"/>
          <w:szCs w:val="22"/>
          <w:lang w:val="es-ES_tradnl"/>
        </w:rPr>
        <w:t>iperplasia a</w:t>
      </w:r>
      <w:r w:rsidRPr="00B85C65">
        <w:rPr>
          <w:sz w:val="22"/>
          <w:szCs w:val="22"/>
          <w:lang w:val="es-ES_tradnl"/>
        </w:rPr>
        <w:t>drenocortical congénita</w:t>
      </w:r>
      <w:r>
        <w:rPr>
          <w:sz w:val="22"/>
          <w:szCs w:val="22"/>
          <w:lang w:val="es-ES_tradnl"/>
        </w:rPr>
        <w:t>, etc.)</w:t>
      </w:r>
      <w:r w:rsidR="00450157">
        <w:rPr>
          <w:sz w:val="22"/>
          <w:szCs w:val="22"/>
          <w:lang w:val="es-ES_tradnl"/>
        </w:rPr>
        <w:t>. Ello</w:t>
      </w:r>
      <w:r w:rsidR="00A53FB2">
        <w:rPr>
          <w:sz w:val="22"/>
          <w:szCs w:val="22"/>
          <w:lang w:val="es-ES_tradnl"/>
        </w:rPr>
        <w:t xml:space="preserve"> </w:t>
      </w:r>
      <w:r w:rsidR="005052D5">
        <w:rPr>
          <w:sz w:val="22"/>
          <w:szCs w:val="22"/>
          <w:lang w:val="es-ES_tradnl"/>
        </w:rPr>
        <w:t>pudiera vulnerar el derecho de</w:t>
      </w:r>
      <w:r>
        <w:rPr>
          <w:sz w:val="22"/>
          <w:szCs w:val="22"/>
          <w:lang w:val="es-ES_tradnl"/>
        </w:rPr>
        <w:t xml:space="preserve"> </w:t>
      </w:r>
      <w:r w:rsidR="00087E0F">
        <w:rPr>
          <w:sz w:val="22"/>
          <w:szCs w:val="22"/>
          <w:lang w:val="es-ES_tradnl"/>
        </w:rPr>
        <w:t>las personas</w:t>
      </w:r>
      <w:r>
        <w:rPr>
          <w:sz w:val="22"/>
          <w:szCs w:val="22"/>
          <w:lang w:val="es-ES_tradnl"/>
        </w:rPr>
        <w:t xml:space="preserve"> con estados intersexuales</w:t>
      </w:r>
      <w:r w:rsidR="005E72ED">
        <w:rPr>
          <w:sz w:val="22"/>
          <w:szCs w:val="22"/>
          <w:lang w:val="es-ES_tradnl"/>
        </w:rPr>
        <w:t xml:space="preserve"> </w:t>
      </w:r>
      <w:r w:rsidR="009905F4">
        <w:rPr>
          <w:sz w:val="22"/>
          <w:szCs w:val="22"/>
          <w:lang w:val="es-ES_tradnl"/>
        </w:rPr>
        <w:t>a</w:t>
      </w:r>
      <w:r w:rsidR="00450157">
        <w:rPr>
          <w:sz w:val="22"/>
          <w:szCs w:val="22"/>
          <w:lang w:val="es-ES_tradnl"/>
        </w:rPr>
        <w:t xml:space="preserve"> no </w:t>
      </w:r>
      <w:r w:rsidR="00757702">
        <w:rPr>
          <w:sz w:val="22"/>
          <w:szCs w:val="22"/>
          <w:lang w:val="es-ES_tradnl"/>
        </w:rPr>
        <w:t xml:space="preserve">ser incluidas dentro de </w:t>
      </w:r>
      <w:r w:rsidR="00087E0F">
        <w:rPr>
          <w:sz w:val="22"/>
          <w:szCs w:val="22"/>
          <w:lang w:val="es-ES_tradnl"/>
        </w:rPr>
        <w:t>ese colectivo</w:t>
      </w:r>
      <w:r>
        <w:rPr>
          <w:sz w:val="22"/>
          <w:szCs w:val="22"/>
          <w:lang w:val="es-ES_tradnl"/>
        </w:rPr>
        <w:t xml:space="preserve">. </w:t>
      </w:r>
      <w:r w:rsidR="00757702">
        <w:rPr>
          <w:sz w:val="22"/>
          <w:szCs w:val="22"/>
          <w:lang w:val="es-ES_tradnl"/>
        </w:rPr>
        <w:t>A</w:t>
      </w:r>
      <w:r w:rsidR="00A53FB2">
        <w:rPr>
          <w:sz w:val="22"/>
          <w:szCs w:val="22"/>
          <w:lang w:val="es-ES_tradnl"/>
        </w:rPr>
        <w:t xml:space="preserve"> nivel internacional,</w:t>
      </w:r>
      <w:r>
        <w:rPr>
          <w:sz w:val="22"/>
          <w:szCs w:val="22"/>
          <w:lang w:val="es-ES_tradnl"/>
        </w:rPr>
        <w:t xml:space="preserve"> </w:t>
      </w:r>
      <w:r w:rsidR="004051E0">
        <w:rPr>
          <w:sz w:val="22"/>
          <w:szCs w:val="22"/>
          <w:lang w:val="es-ES_tradnl"/>
        </w:rPr>
        <w:t xml:space="preserve">los estados intersexuales no suelen incluirse bajo </w:t>
      </w:r>
      <w:r>
        <w:rPr>
          <w:sz w:val="22"/>
          <w:szCs w:val="22"/>
          <w:lang w:val="es-ES_tradnl"/>
        </w:rPr>
        <w:t>las siglas LGBT</w:t>
      </w:r>
      <w:r w:rsidR="00757702">
        <w:rPr>
          <w:sz w:val="22"/>
          <w:szCs w:val="22"/>
          <w:lang w:val="es-ES_tradnl"/>
        </w:rPr>
        <w:t>. E</w:t>
      </w:r>
      <w:r>
        <w:rPr>
          <w:sz w:val="22"/>
          <w:szCs w:val="22"/>
          <w:lang w:val="es-ES_tradnl"/>
        </w:rPr>
        <w:t xml:space="preserve">n algunos casos se emplean las siglas </w:t>
      </w:r>
      <w:r w:rsidRPr="00B85C65">
        <w:rPr>
          <w:sz w:val="22"/>
          <w:szCs w:val="22"/>
          <w:lang w:val="es-ES_tradnl"/>
        </w:rPr>
        <w:t>LGBT</w:t>
      </w:r>
      <w:r>
        <w:rPr>
          <w:sz w:val="22"/>
          <w:szCs w:val="22"/>
          <w:lang w:val="es-ES_tradnl"/>
        </w:rPr>
        <w:t>Q</w:t>
      </w:r>
      <w:r w:rsidR="00A53FB2">
        <w:rPr>
          <w:sz w:val="22"/>
          <w:szCs w:val="22"/>
          <w:lang w:val="es-ES_tradnl"/>
        </w:rPr>
        <w:t xml:space="preserve">, </w:t>
      </w:r>
      <w:r>
        <w:rPr>
          <w:sz w:val="22"/>
          <w:szCs w:val="22"/>
          <w:lang w:val="es-ES_tradnl"/>
        </w:rPr>
        <w:t>que incluyen a personas “</w:t>
      </w:r>
      <w:proofErr w:type="spellStart"/>
      <w:r>
        <w:rPr>
          <w:sz w:val="22"/>
          <w:szCs w:val="22"/>
          <w:lang w:val="es-ES_tradnl"/>
        </w:rPr>
        <w:t>queer</w:t>
      </w:r>
      <w:proofErr w:type="spellEnd"/>
      <w:r>
        <w:rPr>
          <w:sz w:val="22"/>
          <w:szCs w:val="22"/>
          <w:lang w:val="es-ES_tradnl"/>
        </w:rPr>
        <w:t>”</w:t>
      </w:r>
      <w:r w:rsidR="00450157">
        <w:rPr>
          <w:sz w:val="22"/>
          <w:szCs w:val="22"/>
          <w:lang w:val="es-ES_tradnl"/>
        </w:rPr>
        <w:t>,</w:t>
      </w:r>
      <w:r>
        <w:rPr>
          <w:sz w:val="22"/>
          <w:szCs w:val="22"/>
          <w:lang w:val="es-ES_tradnl"/>
        </w:rPr>
        <w:t xml:space="preserve"> “</w:t>
      </w:r>
      <w:r w:rsidR="00A53FB2">
        <w:rPr>
          <w:sz w:val="22"/>
          <w:szCs w:val="22"/>
          <w:lang w:val="es-ES_tradnl"/>
        </w:rPr>
        <w:t xml:space="preserve">extrañas”, pero no específicamente a </w:t>
      </w:r>
      <w:r w:rsidR="004051E0">
        <w:rPr>
          <w:sz w:val="22"/>
          <w:szCs w:val="22"/>
          <w:lang w:val="es-ES_tradnl"/>
        </w:rPr>
        <w:t xml:space="preserve">aquellas </w:t>
      </w:r>
      <w:r w:rsidR="00450157">
        <w:rPr>
          <w:sz w:val="22"/>
          <w:szCs w:val="22"/>
          <w:lang w:val="es-ES_tradnl"/>
        </w:rPr>
        <w:t xml:space="preserve">con </w:t>
      </w:r>
      <w:r w:rsidR="00A53FB2">
        <w:rPr>
          <w:sz w:val="22"/>
          <w:szCs w:val="22"/>
          <w:lang w:val="es-ES_tradnl"/>
        </w:rPr>
        <w:t>estados intersexuales por ser consideradas</w:t>
      </w:r>
      <w:r w:rsidR="00450157">
        <w:rPr>
          <w:sz w:val="22"/>
          <w:szCs w:val="22"/>
          <w:lang w:val="es-ES_tradnl"/>
        </w:rPr>
        <w:t xml:space="preserve"> estos </w:t>
      </w:r>
      <w:r w:rsidR="001B2753">
        <w:rPr>
          <w:sz w:val="22"/>
          <w:szCs w:val="22"/>
          <w:lang w:val="es-ES_tradnl"/>
        </w:rPr>
        <w:t>una</w:t>
      </w:r>
      <w:r w:rsidR="005E72ED">
        <w:rPr>
          <w:sz w:val="22"/>
          <w:szCs w:val="22"/>
          <w:lang w:val="es-ES_tradnl"/>
        </w:rPr>
        <w:t xml:space="preserve"> situación</w:t>
      </w:r>
      <w:r w:rsidR="00450157">
        <w:rPr>
          <w:sz w:val="22"/>
          <w:szCs w:val="22"/>
          <w:lang w:val="es-ES_tradnl"/>
        </w:rPr>
        <w:t xml:space="preserve"> </w:t>
      </w:r>
      <w:r w:rsidR="00A53FB2">
        <w:rPr>
          <w:sz w:val="22"/>
          <w:szCs w:val="22"/>
          <w:lang w:val="es-ES_tradnl"/>
        </w:rPr>
        <w:t>patológica.</w:t>
      </w:r>
    </w:p>
    <w:tbl>
      <w:tblPr>
        <w:tblStyle w:val="Tablaconcuadrcula"/>
        <w:tblW w:w="0" w:type="auto"/>
        <w:tblLook w:val="04A0" w:firstRow="1" w:lastRow="0" w:firstColumn="1" w:lastColumn="0" w:noHBand="0" w:noVBand="1"/>
      </w:tblPr>
      <w:tblGrid>
        <w:gridCol w:w="8494"/>
      </w:tblGrid>
      <w:tr w:rsidR="00B744E4" w:rsidRPr="00B744E4" w14:paraId="0A83ABA2" w14:textId="77777777" w:rsidTr="00B744E4">
        <w:tc>
          <w:tcPr>
            <w:tcW w:w="8494" w:type="dxa"/>
          </w:tcPr>
          <w:p w14:paraId="3DA55391" w14:textId="77777777" w:rsidR="00B744E4" w:rsidRPr="00B744E4" w:rsidRDefault="00B744E4" w:rsidP="00394E74">
            <w:pPr>
              <w:pStyle w:val="Prrafodelista"/>
              <w:numPr>
                <w:ilvl w:val="0"/>
                <w:numId w:val="17"/>
              </w:numPr>
              <w:spacing w:afterLines="200" w:after="480" w:line="360" w:lineRule="auto"/>
              <w:jc w:val="both"/>
              <w:rPr>
                <w:sz w:val="22"/>
                <w:szCs w:val="22"/>
                <w:lang w:val="es-ES_tradnl"/>
              </w:rPr>
            </w:pPr>
            <w:r w:rsidRPr="00B744E4">
              <w:rPr>
                <w:i/>
                <w:sz w:val="22"/>
                <w:szCs w:val="22"/>
                <w:lang w:val="es-ES_tradnl"/>
              </w:rPr>
              <w:t xml:space="preserve">No debería incluirse el grupo pacientes con intersexualidad dentro del marco normativo de transexualidad o disforias de género, ya que se trata de grupos con patología con sus propios </w:t>
            </w:r>
            <w:r w:rsidR="00E364EB">
              <w:rPr>
                <w:i/>
                <w:sz w:val="22"/>
                <w:szCs w:val="22"/>
                <w:lang w:val="es-ES_tradnl"/>
              </w:rPr>
              <w:t xml:space="preserve">códigos diagnósticos en el </w:t>
            </w:r>
            <w:r w:rsidRPr="00B744E4">
              <w:rPr>
                <w:i/>
                <w:sz w:val="22"/>
                <w:szCs w:val="22"/>
                <w:lang w:val="es-ES_tradnl"/>
              </w:rPr>
              <w:t>CIE10</w:t>
            </w:r>
            <w:r w:rsidR="004051E0">
              <w:rPr>
                <w:i/>
                <w:sz w:val="22"/>
                <w:szCs w:val="22"/>
                <w:lang w:val="es-ES_tradnl"/>
              </w:rPr>
              <w:t>.</w:t>
            </w:r>
            <w:r w:rsidRPr="00B744E4">
              <w:rPr>
                <w:i/>
                <w:sz w:val="22"/>
                <w:szCs w:val="22"/>
                <w:lang w:val="es-ES_tradnl"/>
              </w:rPr>
              <w:t xml:space="preserve"> </w:t>
            </w:r>
            <w:r w:rsidR="004051E0">
              <w:rPr>
                <w:i/>
                <w:sz w:val="22"/>
                <w:szCs w:val="22"/>
                <w:lang w:val="es-ES_tradnl"/>
              </w:rPr>
              <w:t>P</w:t>
            </w:r>
            <w:r w:rsidRPr="00B744E4">
              <w:rPr>
                <w:i/>
                <w:sz w:val="22"/>
                <w:szCs w:val="22"/>
                <w:lang w:val="es-ES_tradnl"/>
              </w:rPr>
              <w:t xml:space="preserve">or </w:t>
            </w:r>
            <w:proofErr w:type="gramStart"/>
            <w:r w:rsidRPr="00B744E4">
              <w:rPr>
                <w:i/>
                <w:sz w:val="22"/>
                <w:szCs w:val="22"/>
                <w:lang w:val="es-ES_tradnl"/>
              </w:rPr>
              <w:t>tanto</w:t>
            </w:r>
            <w:proofErr w:type="gramEnd"/>
            <w:r w:rsidR="005052D5">
              <w:rPr>
                <w:i/>
                <w:sz w:val="22"/>
                <w:szCs w:val="22"/>
                <w:lang w:val="es-ES_tradnl"/>
              </w:rPr>
              <w:t xml:space="preserve"> la intersexualidad</w:t>
            </w:r>
            <w:r w:rsidRPr="00B744E4">
              <w:rPr>
                <w:i/>
                <w:sz w:val="22"/>
                <w:szCs w:val="22"/>
                <w:lang w:val="es-ES_tradnl"/>
              </w:rPr>
              <w:t xml:space="preserve"> no </w:t>
            </w:r>
            <w:r w:rsidR="00E364EB">
              <w:rPr>
                <w:i/>
                <w:sz w:val="22"/>
                <w:szCs w:val="22"/>
                <w:lang w:val="es-ES_tradnl"/>
              </w:rPr>
              <w:t>debería catalogarse</w:t>
            </w:r>
            <w:r w:rsidRPr="00B744E4">
              <w:rPr>
                <w:i/>
                <w:sz w:val="22"/>
                <w:szCs w:val="22"/>
                <w:lang w:val="es-ES_tradnl"/>
              </w:rPr>
              <w:t xml:space="preserve"> como disforia de género</w:t>
            </w:r>
            <w:r w:rsidRPr="00B744E4">
              <w:rPr>
                <w:sz w:val="22"/>
                <w:szCs w:val="22"/>
                <w:lang w:val="es-ES_tradnl"/>
              </w:rPr>
              <w:t>.</w:t>
            </w:r>
          </w:p>
        </w:tc>
      </w:tr>
    </w:tbl>
    <w:p w14:paraId="785C240A" w14:textId="77777777" w:rsidR="00A53FB2" w:rsidRPr="003F66CB" w:rsidRDefault="00A53FB2" w:rsidP="00394E74">
      <w:pPr>
        <w:spacing w:afterLines="200" w:after="480" w:line="360" w:lineRule="auto"/>
        <w:jc w:val="both"/>
        <w:rPr>
          <w:b/>
          <w:sz w:val="28"/>
          <w:szCs w:val="28"/>
          <w:u w:val="single"/>
        </w:rPr>
      </w:pPr>
    </w:p>
    <w:p w14:paraId="01DF8AB3" w14:textId="4FA195E8" w:rsidR="00A53FB2" w:rsidRPr="00394E74" w:rsidRDefault="00A53FB2" w:rsidP="00394E74">
      <w:pPr>
        <w:pStyle w:val="Propio2"/>
        <w:spacing w:afterLines="200" w:after="480"/>
      </w:pPr>
      <w:proofErr w:type="gramStart"/>
      <w:r>
        <w:t>En relación a</w:t>
      </w:r>
      <w:proofErr w:type="gramEnd"/>
      <w:r>
        <w:t xml:space="preserve"> si la terapia dirigida a la diferenciación sexual se</w:t>
      </w:r>
      <w:r w:rsidR="005052D5">
        <w:t xml:space="preserve"> trata de medicina curativa </w:t>
      </w:r>
      <w:r w:rsidR="004946C6">
        <w:t>o medicina</w:t>
      </w:r>
      <w:r>
        <w:t xml:space="preserve"> satisfactiva.</w:t>
      </w:r>
    </w:p>
    <w:p w14:paraId="77D89A43" w14:textId="4A5646AA" w:rsidR="00A53FB2" w:rsidRDefault="00A53FB2" w:rsidP="00394E74">
      <w:pPr>
        <w:spacing w:afterLines="200" w:after="480" w:line="360" w:lineRule="auto"/>
        <w:jc w:val="both"/>
        <w:rPr>
          <w:sz w:val="22"/>
          <w:szCs w:val="22"/>
          <w:lang w:val="es-ES_tradnl"/>
        </w:rPr>
      </w:pPr>
      <w:r>
        <w:rPr>
          <w:sz w:val="22"/>
          <w:szCs w:val="22"/>
          <w:lang w:val="es-ES_tradnl"/>
        </w:rPr>
        <w:t xml:space="preserve">Aunque </w:t>
      </w:r>
      <w:r w:rsidR="00757702">
        <w:rPr>
          <w:sz w:val="22"/>
          <w:szCs w:val="22"/>
          <w:lang w:val="es-ES_tradnl"/>
        </w:rPr>
        <w:t xml:space="preserve">este </w:t>
      </w:r>
      <w:r>
        <w:rPr>
          <w:sz w:val="22"/>
          <w:szCs w:val="22"/>
          <w:lang w:val="es-ES_tradnl"/>
        </w:rPr>
        <w:t>documento</w:t>
      </w:r>
      <w:r w:rsidR="00757702">
        <w:rPr>
          <w:sz w:val="22"/>
          <w:szCs w:val="22"/>
          <w:lang w:val="es-ES_tradnl"/>
        </w:rPr>
        <w:t xml:space="preserve"> pretende analizar solo la </w:t>
      </w:r>
      <w:r w:rsidR="005052D5">
        <w:rPr>
          <w:sz w:val="22"/>
          <w:szCs w:val="22"/>
          <w:lang w:val="es-ES_tradnl"/>
        </w:rPr>
        <w:t>Proposición de Ley</w:t>
      </w:r>
      <w:r w:rsidR="00DB0BEA">
        <w:rPr>
          <w:sz w:val="22"/>
          <w:szCs w:val="22"/>
          <w:lang w:val="es-ES_tradnl"/>
        </w:rPr>
        <w:t xml:space="preserve"> arriba </w:t>
      </w:r>
      <w:r w:rsidR="004946C6">
        <w:rPr>
          <w:sz w:val="22"/>
          <w:szCs w:val="22"/>
          <w:lang w:val="es-ES_tradnl"/>
        </w:rPr>
        <w:t>mencionada, dado</w:t>
      </w:r>
      <w:r>
        <w:rPr>
          <w:sz w:val="22"/>
          <w:szCs w:val="22"/>
          <w:lang w:val="es-ES_tradnl"/>
        </w:rPr>
        <w:t xml:space="preserve"> que la tendencia social y normativa</w:t>
      </w:r>
      <w:r w:rsidR="005E72ED">
        <w:rPr>
          <w:sz w:val="22"/>
          <w:szCs w:val="22"/>
          <w:lang w:val="es-ES_tradnl"/>
        </w:rPr>
        <w:t xml:space="preserve"> existente es </w:t>
      </w:r>
      <w:r w:rsidR="00450157">
        <w:rPr>
          <w:sz w:val="22"/>
          <w:szCs w:val="22"/>
          <w:lang w:val="es-ES_tradnl"/>
        </w:rPr>
        <w:t>separar la disforia de género</w:t>
      </w:r>
      <w:r w:rsidR="005052D5">
        <w:rPr>
          <w:sz w:val="22"/>
          <w:szCs w:val="22"/>
          <w:lang w:val="es-ES_tradnl"/>
        </w:rPr>
        <w:t xml:space="preserve"> </w:t>
      </w:r>
      <w:r w:rsidR="00450157">
        <w:rPr>
          <w:sz w:val="22"/>
          <w:szCs w:val="22"/>
          <w:lang w:val="es-ES_tradnl"/>
        </w:rPr>
        <w:t>de la patología médica,</w:t>
      </w:r>
      <w:r>
        <w:rPr>
          <w:sz w:val="22"/>
          <w:szCs w:val="22"/>
          <w:lang w:val="es-ES_tradnl"/>
        </w:rPr>
        <w:t xml:space="preserve"> </w:t>
      </w:r>
      <w:r w:rsidR="00F95A94">
        <w:rPr>
          <w:sz w:val="22"/>
          <w:szCs w:val="22"/>
          <w:lang w:val="es-ES_tradnl"/>
        </w:rPr>
        <w:t xml:space="preserve">para el desarrollo de futuros cambios normativos en el tema de la sexualidad es </w:t>
      </w:r>
      <w:r w:rsidR="005E72ED">
        <w:rPr>
          <w:sz w:val="22"/>
          <w:szCs w:val="22"/>
          <w:lang w:val="es-ES_tradnl"/>
        </w:rPr>
        <w:t xml:space="preserve">importante </w:t>
      </w:r>
      <w:r w:rsidR="00DB0BEA">
        <w:rPr>
          <w:sz w:val="22"/>
          <w:szCs w:val="22"/>
          <w:lang w:val="es-ES_tradnl"/>
        </w:rPr>
        <w:t>realizar una reflexión sobre si</w:t>
      </w:r>
      <w:r>
        <w:rPr>
          <w:sz w:val="22"/>
          <w:szCs w:val="22"/>
          <w:lang w:val="es-ES_tradnl"/>
        </w:rPr>
        <w:t xml:space="preserve"> la terapia dirigida a la diferenciación sexual en el ámbito de la transexualidad </w:t>
      </w:r>
      <w:r w:rsidR="00DB0BEA">
        <w:rPr>
          <w:sz w:val="22"/>
          <w:szCs w:val="22"/>
          <w:lang w:val="es-ES_tradnl"/>
        </w:rPr>
        <w:t>tiene la consideración de</w:t>
      </w:r>
      <w:r>
        <w:rPr>
          <w:sz w:val="22"/>
          <w:szCs w:val="22"/>
          <w:lang w:val="es-ES_tradnl"/>
        </w:rPr>
        <w:t xml:space="preserve"> medicina curativa o medicina satisfactiva. </w:t>
      </w:r>
      <w:r w:rsidR="00D25607">
        <w:rPr>
          <w:sz w:val="22"/>
          <w:szCs w:val="22"/>
          <w:lang w:val="es-ES_tradnl"/>
        </w:rPr>
        <w:t>A</w:t>
      </w:r>
      <w:r>
        <w:rPr>
          <w:sz w:val="22"/>
          <w:szCs w:val="22"/>
          <w:lang w:val="es-ES_tradnl"/>
        </w:rPr>
        <w:t>unque</w:t>
      </w:r>
      <w:r w:rsidR="00D25607">
        <w:rPr>
          <w:sz w:val="22"/>
          <w:szCs w:val="22"/>
          <w:lang w:val="es-ES_tradnl"/>
        </w:rPr>
        <w:t xml:space="preserve"> </w:t>
      </w:r>
      <w:r>
        <w:rPr>
          <w:sz w:val="22"/>
          <w:szCs w:val="22"/>
          <w:lang w:val="es-ES_tradnl"/>
        </w:rPr>
        <w:t xml:space="preserve">no es </w:t>
      </w:r>
      <w:r w:rsidR="005E72ED">
        <w:rPr>
          <w:sz w:val="22"/>
          <w:szCs w:val="22"/>
          <w:lang w:val="es-ES_tradnl"/>
        </w:rPr>
        <w:t xml:space="preserve">un tema urgente en el momento actual, </w:t>
      </w:r>
      <w:r w:rsidR="00450157">
        <w:rPr>
          <w:sz w:val="22"/>
          <w:szCs w:val="22"/>
          <w:lang w:val="es-ES_tradnl"/>
        </w:rPr>
        <w:t>sí</w:t>
      </w:r>
      <w:r>
        <w:rPr>
          <w:sz w:val="22"/>
          <w:szCs w:val="22"/>
          <w:lang w:val="es-ES_tradnl"/>
        </w:rPr>
        <w:t xml:space="preserve"> </w:t>
      </w:r>
      <w:r w:rsidR="002A49D3">
        <w:rPr>
          <w:sz w:val="22"/>
          <w:szCs w:val="22"/>
          <w:lang w:val="es-ES_tradnl"/>
        </w:rPr>
        <w:t>sería conveniente realizar en el futuro</w:t>
      </w:r>
      <w:r w:rsidR="00450157">
        <w:rPr>
          <w:sz w:val="22"/>
          <w:szCs w:val="22"/>
          <w:lang w:val="es-ES_tradnl"/>
        </w:rPr>
        <w:t xml:space="preserve"> </w:t>
      </w:r>
      <w:r w:rsidR="005E72ED">
        <w:rPr>
          <w:sz w:val="22"/>
          <w:szCs w:val="22"/>
          <w:lang w:val="es-ES_tradnl"/>
        </w:rPr>
        <w:t xml:space="preserve">un </w:t>
      </w:r>
      <w:r w:rsidR="00C32F75">
        <w:rPr>
          <w:sz w:val="22"/>
          <w:szCs w:val="22"/>
          <w:lang w:val="es-ES_tradnl"/>
        </w:rPr>
        <w:t>análisis ético</w:t>
      </w:r>
      <w:r w:rsidR="005E72ED">
        <w:rPr>
          <w:sz w:val="22"/>
          <w:szCs w:val="22"/>
          <w:lang w:val="es-ES_tradnl"/>
        </w:rPr>
        <w:t xml:space="preserve"> del tema,</w:t>
      </w:r>
      <w:r w:rsidR="00C32F75">
        <w:rPr>
          <w:sz w:val="22"/>
          <w:szCs w:val="22"/>
          <w:lang w:val="es-ES_tradnl"/>
        </w:rPr>
        <w:t xml:space="preserve"> tanto desde el punto de vista de las personas con disforia de géner</w:t>
      </w:r>
      <w:r w:rsidR="00450157">
        <w:rPr>
          <w:sz w:val="22"/>
          <w:szCs w:val="22"/>
          <w:lang w:val="es-ES_tradnl"/>
        </w:rPr>
        <w:t xml:space="preserve">o como </w:t>
      </w:r>
      <w:r w:rsidR="005E72ED">
        <w:rPr>
          <w:sz w:val="22"/>
          <w:szCs w:val="22"/>
          <w:lang w:val="es-ES_tradnl"/>
        </w:rPr>
        <w:t>desde los</w:t>
      </w:r>
      <w:r w:rsidR="00C32F75">
        <w:rPr>
          <w:sz w:val="22"/>
          <w:szCs w:val="22"/>
          <w:lang w:val="es-ES_tradnl"/>
        </w:rPr>
        <w:t xml:space="preserve"> profesionales que </w:t>
      </w:r>
      <w:r w:rsidR="002A49D3">
        <w:rPr>
          <w:sz w:val="22"/>
          <w:szCs w:val="22"/>
          <w:lang w:val="es-ES_tradnl"/>
        </w:rPr>
        <w:t>les prestan atención sanitaria</w:t>
      </w:r>
      <w:r w:rsidR="00C32F75">
        <w:rPr>
          <w:sz w:val="22"/>
          <w:szCs w:val="22"/>
          <w:lang w:val="es-ES_tradnl"/>
        </w:rPr>
        <w:t>.</w:t>
      </w:r>
      <w:r w:rsidR="00394E74">
        <w:rPr>
          <w:sz w:val="22"/>
          <w:szCs w:val="22"/>
          <w:lang w:val="es-ES_tradnl"/>
        </w:rPr>
        <w:t xml:space="preserve"> </w:t>
      </w:r>
      <w:r w:rsidR="00C32F75">
        <w:rPr>
          <w:sz w:val="22"/>
          <w:szCs w:val="22"/>
          <w:lang w:val="es-ES_tradnl"/>
        </w:rPr>
        <w:t>Posiblemente este elemento</w:t>
      </w:r>
      <w:r w:rsidR="00450157">
        <w:rPr>
          <w:sz w:val="22"/>
          <w:szCs w:val="22"/>
          <w:lang w:val="es-ES_tradnl"/>
        </w:rPr>
        <w:t xml:space="preserve"> de discusión</w:t>
      </w:r>
      <w:r w:rsidR="00C32F75">
        <w:rPr>
          <w:sz w:val="22"/>
          <w:szCs w:val="22"/>
          <w:lang w:val="es-ES_tradnl"/>
        </w:rPr>
        <w:t xml:space="preserve"> está más claro en los estados intersexuales</w:t>
      </w:r>
      <w:r w:rsidR="00450157">
        <w:rPr>
          <w:sz w:val="22"/>
          <w:szCs w:val="22"/>
          <w:lang w:val="es-ES_tradnl"/>
        </w:rPr>
        <w:t>,</w:t>
      </w:r>
      <w:r w:rsidR="00C32F75">
        <w:rPr>
          <w:sz w:val="22"/>
          <w:szCs w:val="22"/>
          <w:lang w:val="es-ES_tradnl"/>
        </w:rPr>
        <w:t xml:space="preserve"> donde </w:t>
      </w:r>
      <w:r w:rsidR="00450157">
        <w:rPr>
          <w:sz w:val="22"/>
          <w:szCs w:val="22"/>
          <w:lang w:val="es-ES_tradnl"/>
        </w:rPr>
        <w:t xml:space="preserve">la medicina practicada </w:t>
      </w:r>
      <w:r w:rsidR="00C32F75">
        <w:rPr>
          <w:sz w:val="22"/>
          <w:szCs w:val="22"/>
          <w:lang w:val="es-ES_tradnl"/>
        </w:rPr>
        <w:t xml:space="preserve">puede ser </w:t>
      </w:r>
      <w:r w:rsidR="005E72ED">
        <w:rPr>
          <w:sz w:val="22"/>
          <w:szCs w:val="22"/>
          <w:lang w:val="es-ES_tradnl"/>
        </w:rPr>
        <w:t>considerada medicina</w:t>
      </w:r>
      <w:r w:rsidR="00C32F75">
        <w:rPr>
          <w:sz w:val="22"/>
          <w:szCs w:val="22"/>
          <w:lang w:val="es-ES_tradnl"/>
        </w:rPr>
        <w:t xml:space="preserve"> curativa </w:t>
      </w:r>
      <w:r w:rsidR="00D25607">
        <w:rPr>
          <w:sz w:val="22"/>
          <w:szCs w:val="22"/>
          <w:lang w:val="es-ES_tradnl"/>
        </w:rPr>
        <w:t>y no medicina</w:t>
      </w:r>
      <w:r w:rsidR="00C32F75">
        <w:rPr>
          <w:sz w:val="22"/>
          <w:szCs w:val="22"/>
          <w:lang w:val="es-ES_tradnl"/>
        </w:rPr>
        <w:t xml:space="preserve"> satisfactiva</w:t>
      </w:r>
      <w:r w:rsidR="005E72ED">
        <w:rPr>
          <w:sz w:val="22"/>
          <w:szCs w:val="22"/>
          <w:lang w:val="es-ES_tradnl"/>
        </w:rPr>
        <w:t>.</w:t>
      </w:r>
    </w:p>
    <w:tbl>
      <w:tblPr>
        <w:tblStyle w:val="Tablaconcuadrcula"/>
        <w:tblW w:w="0" w:type="auto"/>
        <w:tblLook w:val="04A0" w:firstRow="1" w:lastRow="0" w:firstColumn="1" w:lastColumn="0" w:noHBand="0" w:noVBand="1"/>
      </w:tblPr>
      <w:tblGrid>
        <w:gridCol w:w="8494"/>
      </w:tblGrid>
      <w:tr w:rsidR="00B744E4" w:rsidRPr="00B744E4" w14:paraId="48549703" w14:textId="77777777" w:rsidTr="00394E74">
        <w:trPr>
          <w:trHeight w:val="1088"/>
        </w:trPr>
        <w:tc>
          <w:tcPr>
            <w:tcW w:w="8494" w:type="dxa"/>
          </w:tcPr>
          <w:p w14:paraId="4BA3071C" w14:textId="47207C04" w:rsidR="00B744E4" w:rsidRPr="00B744E4" w:rsidRDefault="00B744E4" w:rsidP="00394E74">
            <w:pPr>
              <w:pStyle w:val="Prrafodelista"/>
              <w:numPr>
                <w:ilvl w:val="0"/>
                <w:numId w:val="17"/>
              </w:numPr>
              <w:spacing w:afterLines="200" w:after="480" w:line="360" w:lineRule="auto"/>
              <w:jc w:val="both"/>
              <w:rPr>
                <w:i/>
                <w:sz w:val="22"/>
                <w:szCs w:val="22"/>
                <w:lang w:val="es-ES_tradnl"/>
              </w:rPr>
            </w:pPr>
            <w:r w:rsidRPr="00B744E4">
              <w:rPr>
                <w:i/>
                <w:sz w:val="22"/>
                <w:szCs w:val="22"/>
                <w:lang w:val="es-ES_tradnl"/>
              </w:rPr>
              <w:t xml:space="preserve">En un futuro debería realizarse una reflexión </w:t>
            </w:r>
            <w:r w:rsidR="00F96353">
              <w:rPr>
                <w:i/>
                <w:sz w:val="22"/>
                <w:szCs w:val="22"/>
                <w:lang w:val="es-ES_tradnl"/>
              </w:rPr>
              <w:t xml:space="preserve">ética </w:t>
            </w:r>
            <w:r w:rsidRPr="00B744E4">
              <w:rPr>
                <w:i/>
                <w:sz w:val="22"/>
                <w:szCs w:val="22"/>
                <w:lang w:val="es-ES_tradnl"/>
              </w:rPr>
              <w:t xml:space="preserve">sobre si la </w:t>
            </w:r>
            <w:r w:rsidR="00F96353">
              <w:rPr>
                <w:i/>
                <w:sz w:val="22"/>
                <w:szCs w:val="22"/>
                <w:lang w:val="es-ES_tradnl"/>
              </w:rPr>
              <w:t xml:space="preserve">atención médica </w:t>
            </w:r>
            <w:r w:rsidR="004946C6">
              <w:rPr>
                <w:i/>
                <w:sz w:val="22"/>
                <w:szCs w:val="22"/>
                <w:lang w:val="es-ES_tradnl"/>
              </w:rPr>
              <w:t xml:space="preserve">de </w:t>
            </w:r>
            <w:r w:rsidR="004946C6" w:rsidRPr="00B744E4">
              <w:rPr>
                <w:i/>
                <w:sz w:val="22"/>
                <w:szCs w:val="22"/>
                <w:lang w:val="es-ES_tradnl"/>
              </w:rPr>
              <w:t>personas</w:t>
            </w:r>
            <w:r w:rsidRPr="00B744E4">
              <w:rPr>
                <w:i/>
                <w:sz w:val="22"/>
                <w:szCs w:val="22"/>
                <w:lang w:val="es-ES_tradnl"/>
              </w:rPr>
              <w:t xml:space="preserve"> con disforia de género es medicina curativa o medicina satisfactiva</w:t>
            </w:r>
            <w:r w:rsidR="00F96353">
              <w:rPr>
                <w:i/>
                <w:sz w:val="22"/>
                <w:szCs w:val="22"/>
                <w:lang w:val="es-ES_tradnl"/>
              </w:rPr>
              <w:t>,</w:t>
            </w:r>
            <w:r w:rsidRPr="00B744E4">
              <w:rPr>
                <w:i/>
                <w:sz w:val="22"/>
                <w:szCs w:val="22"/>
                <w:lang w:val="es-ES_tradnl"/>
              </w:rPr>
              <w:t xml:space="preserve"> para hacerla coherente con el concepto de “no patología” </w:t>
            </w:r>
          </w:p>
        </w:tc>
      </w:tr>
    </w:tbl>
    <w:p w14:paraId="70321FC2" w14:textId="77777777" w:rsidR="001470E4" w:rsidRDefault="001470E4" w:rsidP="00394E74">
      <w:pPr>
        <w:pStyle w:val="Propio2"/>
        <w:spacing w:afterLines="200" w:after="480"/>
      </w:pPr>
      <w:proofErr w:type="gramStart"/>
      <w:r>
        <w:t>En relación al</w:t>
      </w:r>
      <w:proofErr w:type="gramEnd"/>
      <w:r>
        <w:t xml:space="preserve"> tratamiento </w:t>
      </w:r>
      <w:r w:rsidR="00375E36">
        <w:t xml:space="preserve">de </w:t>
      </w:r>
      <w:r>
        <w:t>personas intersexuales menores de edad.</w:t>
      </w:r>
    </w:p>
    <w:p w14:paraId="4DF9553B" w14:textId="77777777" w:rsidR="00342957" w:rsidRPr="00394E74" w:rsidRDefault="00375E36" w:rsidP="00394E74">
      <w:pPr>
        <w:spacing w:afterLines="200" w:after="480" w:line="360" w:lineRule="auto"/>
        <w:jc w:val="both"/>
        <w:rPr>
          <w:sz w:val="22"/>
          <w:szCs w:val="22"/>
          <w:lang w:val="es-ES_tradnl"/>
        </w:rPr>
      </w:pPr>
      <w:r>
        <w:rPr>
          <w:sz w:val="22"/>
          <w:szCs w:val="22"/>
          <w:lang w:val="es-ES_tradnl"/>
        </w:rPr>
        <w:t>El</w:t>
      </w:r>
      <w:r w:rsidR="00E950F5" w:rsidRPr="00E950F5">
        <w:rPr>
          <w:sz w:val="22"/>
          <w:szCs w:val="22"/>
          <w:lang w:val="es-ES_tradnl"/>
        </w:rPr>
        <w:t xml:space="preserve"> término intersexualidad hace</w:t>
      </w:r>
      <w:r w:rsidR="00E950F5">
        <w:rPr>
          <w:sz w:val="22"/>
          <w:szCs w:val="22"/>
          <w:lang w:val="es-ES_tradnl"/>
        </w:rPr>
        <w:t xml:space="preserve"> </w:t>
      </w:r>
      <w:r w:rsidR="00E950F5" w:rsidRPr="00E950F5">
        <w:rPr>
          <w:sz w:val="22"/>
          <w:szCs w:val="22"/>
          <w:lang w:val="es-ES_tradnl"/>
        </w:rPr>
        <w:t>referencia a</w:t>
      </w:r>
      <w:r w:rsidR="001B2753">
        <w:rPr>
          <w:sz w:val="22"/>
          <w:szCs w:val="22"/>
          <w:lang w:val="es-ES_tradnl"/>
        </w:rPr>
        <w:t xml:space="preserve"> un</w:t>
      </w:r>
      <w:r w:rsidR="00E950F5" w:rsidRPr="00E950F5">
        <w:rPr>
          <w:sz w:val="22"/>
          <w:szCs w:val="22"/>
          <w:lang w:val="es-ES_tradnl"/>
        </w:rPr>
        <w:t xml:space="preserve"> grupo de afecciones en las</w:t>
      </w:r>
      <w:r w:rsidR="00E950F5">
        <w:rPr>
          <w:sz w:val="22"/>
          <w:szCs w:val="22"/>
          <w:lang w:val="es-ES_tradnl"/>
        </w:rPr>
        <w:t xml:space="preserve"> </w:t>
      </w:r>
      <w:r w:rsidR="00E950F5" w:rsidRPr="00E950F5">
        <w:rPr>
          <w:sz w:val="22"/>
          <w:szCs w:val="22"/>
          <w:lang w:val="es-ES_tradnl"/>
        </w:rPr>
        <w:t xml:space="preserve">que </w:t>
      </w:r>
      <w:r>
        <w:rPr>
          <w:sz w:val="22"/>
          <w:szCs w:val="22"/>
          <w:lang w:val="es-ES_tradnl"/>
        </w:rPr>
        <w:t>existe</w:t>
      </w:r>
      <w:r w:rsidR="00E950F5" w:rsidRPr="00E950F5">
        <w:rPr>
          <w:sz w:val="22"/>
          <w:szCs w:val="22"/>
          <w:lang w:val="es-ES_tradnl"/>
        </w:rPr>
        <w:t xml:space="preserve"> una anormalidad en los genitales</w:t>
      </w:r>
      <w:r w:rsidR="00E950F5">
        <w:rPr>
          <w:sz w:val="22"/>
          <w:szCs w:val="22"/>
          <w:lang w:val="es-ES_tradnl"/>
        </w:rPr>
        <w:t xml:space="preserve"> </w:t>
      </w:r>
      <w:r w:rsidR="00E950F5" w:rsidRPr="00E950F5">
        <w:rPr>
          <w:sz w:val="22"/>
          <w:szCs w:val="22"/>
          <w:lang w:val="es-ES_tradnl"/>
        </w:rPr>
        <w:t>internos y externos</w:t>
      </w:r>
      <w:r>
        <w:rPr>
          <w:sz w:val="22"/>
          <w:szCs w:val="22"/>
          <w:lang w:val="es-ES_tradnl"/>
        </w:rPr>
        <w:t xml:space="preserve"> y que</w:t>
      </w:r>
      <w:r w:rsidR="00E950F5">
        <w:rPr>
          <w:sz w:val="22"/>
          <w:szCs w:val="22"/>
          <w:lang w:val="es-ES_tradnl"/>
        </w:rPr>
        <w:t xml:space="preserve"> </w:t>
      </w:r>
      <w:r w:rsidR="00E950F5" w:rsidRPr="00E950F5">
        <w:rPr>
          <w:sz w:val="22"/>
          <w:szCs w:val="22"/>
          <w:lang w:val="es-ES_tradnl"/>
        </w:rPr>
        <w:t>impide definir si un individuo pertenece</w:t>
      </w:r>
      <w:r w:rsidR="00E950F5">
        <w:rPr>
          <w:sz w:val="22"/>
          <w:szCs w:val="22"/>
          <w:lang w:val="es-ES_tradnl"/>
        </w:rPr>
        <w:t xml:space="preserve"> </w:t>
      </w:r>
      <w:r w:rsidR="00E950F5" w:rsidRPr="00E950F5">
        <w:rPr>
          <w:sz w:val="22"/>
          <w:szCs w:val="22"/>
          <w:lang w:val="es-ES_tradnl"/>
        </w:rPr>
        <w:t xml:space="preserve">al </w:t>
      </w:r>
      <w:r w:rsidR="00F96353">
        <w:rPr>
          <w:sz w:val="22"/>
          <w:szCs w:val="22"/>
          <w:lang w:val="es-ES_tradnl"/>
        </w:rPr>
        <w:t>sexo</w:t>
      </w:r>
      <w:r w:rsidR="00F96353" w:rsidRPr="00E950F5">
        <w:rPr>
          <w:sz w:val="22"/>
          <w:szCs w:val="22"/>
          <w:lang w:val="es-ES_tradnl"/>
        </w:rPr>
        <w:t xml:space="preserve"> </w:t>
      </w:r>
      <w:r w:rsidR="00E950F5" w:rsidRPr="00E950F5">
        <w:rPr>
          <w:sz w:val="22"/>
          <w:szCs w:val="22"/>
          <w:lang w:val="es-ES_tradnl"/>
        </w:rPr>
        <w:t>masculino o femenino</w:t>
      </w:r>
      <w:r w:rsidR="00E950F5">
        <w:rPr>
          <w:sz w:val="22"/>
          <w:szCs w:val="22"/>
          <w:lang w:val="es-ES_tradnl"/>
        </w:rPr>
        <w:t>.</w:t>
      </w:r>
      <w:r w:rsidR="00E950F5" w:rsidRPr="00E950F5">
        <w:t xml:space="preserve"> </w:t>
      </w:r>
      <w:r w:rsidRPr="00586DB6">
        <w:rPr>
          <w:sz w:val="22"/>
          <w:szCs w:val="22"/>
        </w:rPr>
        <w:t xml:space="preserve">La </w:t>
      </w:r>
      <w:r w:rsidR="00F96353" w:rsidRPr="00586DB6">
        <w:rPr>
          <w:sz w:val="22"/>
          <w:szCs w:val="22"/>
        </w:rPr>
        <w:t>intersexualidad</w:t>
      </w:r>
      <w:r w:rsidRPr="00586DB6">
        <w:rPr>
          <w:sz w:val="22"/>
          <w:szCs w:val="22"/>
        </w:rPr>
        <w:t>,</w:t>
      </w:r>
      <w:r>
        <w:t xml:space="preserve"> </w:t>
      </w:r>
      <w:r>
        <w:rPr>
          <w:sz w:val="22"/>
          <w:szCs w:val="22"/>
          <w:lang w:val="es-ES_tradnl"/>
        </w:rPr>
        <w:t>t</w:t>
      </w:r>
      <w:r w:rsidR="00E950F5" w:rsidRPr="00E950F5">
        <w:rPr>
          <w:sz w:val="22"/>
          <w:szCs w:val="22"/>
          <w:lang w:val="es-ES_tradnl"/>
        </w:rPr>
        <w:t>ambién</w:t>
      </w:r>
      <w:r w:rsidR="00E950F5">
        <w:rPr>
          <w:sz w:val="22"/>
          <w:szCs w:val="22"/>
          <w:lang w:val="es-ES_tradnl"/>
        </w:rPr>
        <w:t xml:space="preserve"> </w:t>
      </w:r>
      <w:r w:rsidR="00E950F5" w:rsidRPr="00E950F5">
        <w:rPr>
          <w:sz w:val="22"/>
          <w:szCs w:val="22"/>
          <w:lang w:val="es-ES_tradnl"/>
        </w:rPr>
        <w:t>conocida DSD (trastorno de desarrollo sexual según</w:t>
      </w:r>
      <w:r w:rsidR="00E950F5">
        <w:rPr>
          <w:sz w:val="22"/>
          <w:szCs w:val="22"/>
          <w:lang w:val="es-ES_tradnl"/>
        </w:rPr>
        <w:t xml:space="preserve"> </w:t>
      </w:r>
      <w:r w:rsidR="00E950F5" w:rsidRPr="00E950F5">
        <w:rPr>
          <w:sz w:val="22"/>
          <w:szCs w:val="22"/>
          <w:lang w:val="es-ES_tradnl"/>
        </w:rPr>
        <w:t>siglas en inglés), suele</w:t>
      </w:r>
      <w:r w:rsidR="00E950F5">
        <w:rPr>
          <w:sz w:val="22"/>
          <w:szCs w:val="22"/>
          <w:lang w:val="es-ES_tradnl"/>
        </w:rPr>
        <w:t xml:space="preserve"> </w:t>
      </w:r>
      <w:r>
        <w:rPr>
          <w:sz w:val="22"/>
          <w:szCs w:val="22"/>
          <w:lang w:val="es-ES_tradnl"/>
        </w:rPr>
        <w:t>dividirse</w:t>
      </w:r>
      <w:r w:rsidR="00E950F5" w:rsidRPr="00E950F5">
        <w:rPr>
          <w:sz w:val="22"/>
          <w:szCs w:val="22"/>
          <w:lang w:val="es-ES_tradnl"/>
        </w:rPr>
        <w:t xml:space="preserve"> en seis categorías</w:t>
      </w:r>
      <w:r w:rsidR="00B744E4">
        <w:rPr>
          <w:sz w:val="22"/>
          <w:szCs w:val="22"/>
          <w:lang w:val="es-ES_tradnl"/>
        </w:rPr>
        <w:t xml:space="preserve"> principales</w:t>
      </w:r>
      <w:r w:rsidR="003B23EE">
        <w:rPr>
          <w:sz w:val="22"/>
          <w:szCs w:val="22"/>
          <w:lang w:val="es-ES_tradnl"/>
        </w:rPr>
        <w:t xml:space="preserve"> (ver apéndice I).</w:t>
      </w:r>
    </w:p>
    <w:p w14:paraId="714786BB" w14:textId="77777777" w:rsidR="00A85AC7" w:rsidRPr="00394E74" w:rsidRDefault="003B23EE" w:rsidP="00394E74">
      <w:pPr>
        <w:spacing w:afterLines="200" w:after="480" w:line="360" w:lineRule="auto"/>
        <w:jc w:val="both"/>
        <w:rPr>
          <w:sz w:val="22"/>
          <w:szCs w:val="22"/>
        </w:rPr>
      </w:pPr>
      <w:r>
        <w:rPr>
          <w:sz w:val="22"/>
          <w:szCs w:val="22"/>
        </w:rPr>
        <w:t>La</w:t>
      </w:r>
      <w:r w:rsidR="00A85AC7" w:rsidRPr="00A85AC7">
        <w:rPr>
          <w:sz w:val="22"/>
          <w:szCs w:val="22"/>
        </w:rPr>
        <w:t xml:space="preserve"> ISNA </w:t>
      </w:r>
      <w:r w:rsidR="00087E0F" w:rsidRPr="00A85AC7">
        <w:rPr>
          <w:sz w:val="22"/>
          <w:szCs w:val="22"/>
        </w:rPr>
        <w:t>(Sociedad</w:t>
      </w:r>
      <w:r w:rsidR="00A85AC7" w:rsidRPr="00A85AC7">
        <w:rPr>
          <w:sz w:val="22"/>
          <w:szCs w:val="22"/>
        </w:rPr>
        <w:t xml:space="preserve"> Intersexual de Norteamérica en materia de intersexualidad)</w:t>
      </w:r>
      <w:r w:rsidR="00AE42EC">
        <w:rPr>
          <w:sz w:val="22"/>
          <w:szCs w:val="22"/>
        </w:rPr>
        <w:t xml:space="preserve">, </w:t>
      </w:r>
      <w:r>
        <w:rPr>
          <w:sz w:val="22"/>
          <w:szCs w:val="22"/>
        </w:rPr>
        <w:t xml:space="preserve">ha </w:t>
      </w:r>
      <w:r w:rsidR="00A85AC7" w:rsidRPr="00A85AC7">
        <w:rPr>
          <w:sz w:val="22"/>
          <w:szCs w:val="22"/>
        </w:rPr>
        <w:t>denuncia</w:t>
      </w:r>
      <w:r>
        <w:rPr>
          <w:sz w:val="22"/>
          <w:szCs w:val="22"/>
        </w:rPr>
        <w:t>do</w:t>
      </w:r>
      <w:r w:rsidR="00A85AC7" w:rsidRPr="00A85AC7">
        <w:rPr>
          <w:sz w:val="22"/>
          <w:szCs w:val="22"/>
        </w:rPr>
        <w:t xml:space="preserve"> las </w:t>
      </w:r>
      <w:r w:rsidR="00D25607" w:rsidRPr="00A85AC7">
        <w:rPr>
          <w:sz w:val="22"/>
          <w:szCs w:val="22"/>
        </w:rPr>
        <w:t xml:space="preserve">numerosas </w:t>
      </w:r>
      <w:r w:rsidR="00D25607">
        <w:rPr>
          <w:sz w:val="22"/>
          <w:szCs w:val="22"/>
        </w:rPr>
        <w:t xml:space="preserve">y </w:t>
      </w:r>
      <w:r w:rsidR="00A85AC7" w:rsidRPr="00A85AC7">
        <w:rPr>
          <w:sz w:val="22"/>
          <w:szCs w:val="22"/>
        </w:rPr>
        <w:t>traumáticas intervenciones quirúrgicas que se practican a personas intersexuales</w:t>
      </w:r>
      <w:r w:rsidR="00AE42EC">
        <w:rPr>
          <w:sz w:val="22"/>
          <w:szCs w:val="22"/>
        </w:rPr>
        <w:t>.</w:t>
      </w:r>
      <w:r w:rsidR="00A85AC7" w:rsidRPr="00A85AC7">
        <w:rPr>
          <w:sz w:val="22"/>
          <w:szCs w:val="22"/>
        </w:rPr>
        <w:t xml:space="preserve"> </w:t>
      </w:r>
      <w:r w:rsidR="009905F4">
        <w:rPr>
          <w:sz w:val="22"/>
          <w:szCs w:val="22"/>
        </w:rPr>
        <w:t>T</w:t>
      </w:r>
      <w:r w:rsidR="002B0A3B">
        <w:rPr>
          <w:sz w:val="22"/>
          <w:szCs w:val="22"/>
        </w:rPr>
        <w:t xml:space="preserve">ambién </w:t>
      </w:r>
      <w:r w:rsidR="00A85AC7" w:rsidRPr="00A85AC7">
        <w:rPr>
          <w:sz w:val="22"/>
          <w:szCs w:val="22"/>
        </w:rPr>
        <w:t xml:space="preserve">se </w:t>
      </w:r>
      <w:r w:rsidR="005052D5">
        <w:rPr>
          <w:sz w:val="22"/>
          <w:szCs w:val="22"/>
        </w:rPr>
        <w:t xml:space="preserve">posiciona </w:t>
      </w:r>
      <w:r w:rsidR="00836494">
        <w:rPr>
          <w:sz w:val="22"/>
          <w:szCs w:val="22"/>
        </w:rPr>
        <w:t>contra el protocolo médico-</w:t>
      </w:r>
      <w:r w:rsidR="00A85AC7" w:rsidRPr="00A85AC7">
        <w:rPr>
          <w:sz w:val="22"/>
          <w:szCs w:val="22"/>
        </w:rPr>
        <w:t>quirúrgico</w:t>
      </w:r>
      <w:r w:rsidR="00836494">
        <w:rPr>
          <w:sz w:val="22"/>
          <w:szCs w:val="22"/>
        </w:rPr>
        <w:t xml:space="preserve"> urgente</w:t>
      </w:r>
      <w:r w:rsidR="00A85AC7" w:rsidRPr="00A85AC7">
        <w:rPr>
          <w:sz w:val="22"/>
          <w:szCs w:val="22"/>
        </w:rPr>
        <w:t xml:space="preserve">; esto es, rechaza las intervenciones en menores excepto aquellas que </w:t>
      </w:r>
      <w:r w:rsidR="00FA7501">
        <w:rPr>
          <w:sz w:val="22"/>
          <w:szCs w:val="22"/>
        </w:rPr>
        <w:t>sean</w:t>
      </w:r>
      <w:r w:rsidR="00FA7501" w:rsidRPr="00A85AC7">
        <w:rPr>
          <w:sz w:val="22"/>
          <w:szCs w:val="22"/>
        </w:rPr>
        <w:t xml:space="preserve"> </w:t>
      </w:r>
      <w:r w:rsidR="00A85AC7" w:rsidRPr="00A85AC7">
        <w:rPr>
          <w:sz w:val="22"/>
          <w:szCs w:val="22"/>
        </w:rPr>
        <w:t xml:space="preserve">estrictamente necesarias. </w:t>
      </w:r>
      <w:r w:rsidR="00FA7501">
        <w:rPr>
          <w:sz w:val="22"/>
          <w:szCs w:val="22"/>
        </w:rPr>
        <w:t>La</w:t>
      </w:r>
      <w:r w:rsidR="00A85AC7" w:rsidRPr="00A85AC7">
        <w:rPr>
          <w:sz w:val="22"/>
          <w:szCs w:val="22"/>
        </w:rPr>
        <w:t xml:space="preserve"> ISNA demanda el derecho de todo intersexual a determinar su propia identidad sexual una vez pueda comunicarla y, en consecuencia, que se respete su decisión por parte de médicos, terapeutas y familiares. </w:t>
      </w:r>
      <w:r w:rsidR="00336931">
        <w:rPr>
          <w:sz w:val="22"/>
          <w:szCs w:val="22"/>
        </w:rPr>
        <w:t>Uno</w:t>
      </w:r>
      <w:r w:rsidR="00836494">
        <w:rPr>
          <w:sz w:val="22"/>
          <w:szCs w:val="22"/>
        </w:rPr>
        <w:t xml:space="preserve"> de los posicionamiento</w:t>
      </w:r>
      <w:r w:rsidR="00AE42EC">
        <w:rPr>
          <w:sz w:val="22"/>
          <w:szCs w:val="22"/>
        </w:rPr>
        <w:t>s</w:t>
      </w:r>
      <w:r w:rsidR="00836494">
        <w:rPr>
          <w:sz w:val="22"/>
          <w:szCs w:val="22"/>
        </w:rPr>
        <w:t xml:space="preserve"> de </w:t>
      </w:r>
      <w:r w:rsidR="00087E0F">
        <w:rPr>
          <w:sz w:val="22"/>
          <w:szCs w:val="22"/>
        </w:rPr>
        <w:t xml:space="preserve">la </w:t>
      </w:r>
      <w:r w:rsidR="00087E0F" w:rsidRPr="00A85AC7">
        <w:rPr>
          <w:sz w:val="22"/>
          <w:szCs w:val="22"/>
        </w:rPr>
        <w:t>ISNA</w:t>
      </w:r>
      <w:r w:rsidR="00A85AC7" w:rsidRPr="00A85AC7">
        <w:rPr>
          <w:sz w:val="22"/>
          <w:szCs w:val="22"/>
        </w:rPr>
        <w:t xml:space="preserve"> es la arbitrariedad que existe en la definición de sexo e identidad sexual, pues en el momento del nacimiento existen multitud de combinaciones cromosómicas, hormonales y gonadale</w:t>
      </w:r>
      <w:r w:rsidR="00FA7501">
        <w:rPr>
          <w:sz w:val="22"/>
          <w:szCs w:val="22"/>
        </w:rPr>
        <w:t>s</w:t>
      </w:r>
      <w:r w:rsidR="00A85AC7" w:rsidRPr="00A85AC7">
        <w:rPr>
          <w:sz w:val="22"/>
          <w:szCs w:val="22"/>
        </w:rPr>
        <w:t xml:space="preserve"> que </w:t>
      </w:r>
      <w:r w:rsidR="00AE42EC">
        <w:rPr>
          <w:sz w:val="22"/>
          <w:szCs w:val="22"/>
        </w:rPr>
        <w:t>cuestionan</w:t>
      </w:r>
      <w:r w:rsidR="00A85AC7" w:rsidRPr="00A85AC7">
        <w:rPr>
          <w:sz w:val="22"/>
          <w:szCs w:val="22"/>
        </w:rPr>
        <w:t xml:space="preserve"> la clasificación binaria tradicional</w:t>
      </w:r>
      <w:r w:rsidR="00836494">
        <w:rPr>
          <w:sz w:val="22"/>
          <w:szCs w:val="22"/>
        </w:rPr>
        <w:t xml:space="preserve"> (masculino-femenino</w:t>
      </w:r>
      <w:r w:rsidR="00087E0F">
        <w:rPr>
          <w:sz w:val="22"/>
          <w:szCs w:val="22"/>
        </w:rPr>
        <w:t xml:space="preserve">) </w:t>
      </w:r>
      <w:r w:rsidR="00087E0F" w:rsidRPr="00A85AC7">
        <w:rPr>
          <w:sz w:val="22"/>
          <w:szCs w:val="22"/>
        </w:rPr>
        <w:t>que</w:t>
      </w:r>
      <w:r w:rsidR="00A85AC7" w:rsidRPr="00A85AC7">
        <w:rPr>
          <w:sz w:val="22"/>
          <w:szCs w:val="22"/>
        </w:rPr>
        <w:t xml:space="preserve"> se toma y fija como norma y que luego se trasladada a los protocolos de actuación médica. </w:t>
      </w:r>
    </w:p>
    <w:p w14:paraId="6008AD04" w14:textId="77777777" w:rsidR="00AC7338" w:rsidRPr="00394E74" w:rsidRDefault="00AC7338" w:rsidP="00394E74">
      <w:pPr>
        <w:pStyle w:val="Propio3"/>
        <w:spacing w:afterLines="200" w:after="480"/>
        <w:ind w:left="1701" w:hanging="708"/>
      </w:pPr>
      <w:r w:rsidRPr="00971EF1">
        <w:t>¿Es la intersexualidad infantil una emergencia</w:t>
      </w:r>
      <w:r w:rsidR="00A85AC7">
        <w:t xml:space="preserve"> médica</w:t>
      </w:r>
      <w:r w:rsidRPr="00971EF1">
        <w:t>? ¿Para quién?</w:t>
      </w:r>
    </w:p>
    <w:p w14:paraId="47E260AC" w14:textId="434ECC88" w:rsidR="004C252F" w:rsidRPr="00E25876" w:rsidRDefault="00C932B4" w:rsidP="00394E74">
      <w:pPr>
        <w:spacing w:afterLines="200" w:after="480" w:line="360" w:lineRule="auto"/>
        <w:jc w:val="both"/>
        <w:rPr>
          <w:sz w:val="22"/>
          <w:szCs w:val="22"/>
        </w:rPr>
      </w:pPr>
      <w:r>
        <w:rPr>
          <w:sz w:val="22"/>
          <w:szCs w:val="22"/>
        </w:rPr>
        <w:t>L</w:t>
      </w:r>
      <w:r w:rsidR="004C252F" w:rsidRPr="00E25876">
        <w:rPr>
          <w:sz w:val="22"/>
          <w:szCs w:val="22"/>
        </w:rPr>
        <w:t>as sociedades occidentales tienden</w:t>
      </w:r>
      <w:r w:rsidR="00275C17">
        <w:rPr>
          <w:sz w:val="22"/>
          <w:szCs w:val="22"/>
        </w:rPr>
        <w:t xml:space="preserve"> actualmente</w:t>
      </w:r>
      <w:r w:rsidR="004C252F" w:rsidRPr="00E25876">
        <w:rPr>
          <w:sz w:val="22"/>
          <w:szCs w:val="22"/>
        </w:rPr>
        <w:t xml:space="preserve"> a mantener la dicotomía hombre-mujer</w:t>
      </w:r>
      <w:r w:rsidR="000E3BD8">
        <w:rPr>
          <w:sz w:val="22"/>
          <w:szCs w:val="22"/>
        </w:rPr>
        <w:t>,</w:t>
      </w:r>
      <w:r w:rsidR="004C252F" w:rsidRPr="00E25876">
        <w:rPr>
          <w:sz w:val="22"/>
          <w:szCs w:val="22"/>
        </w:rPr>
        <w:t xml:space="preserve"> excluyendo cualquier otra variedad al considerarl</w:t>
      </w:r>
      <w:r w:rsidR="00EB0A09">
        <w:rPr>
          <w:sz w:val="22"/>
          <w:szCs w:val="22"/>
        </w:rPr>
        <w:t>a</w:t>
      </w:r>
      <w:r w:rsidR="004C252F" w:rsidRPr="00E25876">
        <w:rPr>
          <w:sz w:val="22"/>
          <w:szCs w:val="22"/>
        </w:rPr>
        <w:t xml:space="preserve"> un elemento generador de ansiedad y problemas psicológicos. Consecuentemente, el tratamiento médico de </w:t>
      </w:r>
      <w:r w:rsidR="00275C17">
        <w:rPr>
          <w:sz w:val="22"/>
          <w:szCs w:val="22"/>
        </w:rPr>
        <w:t>los</w:t>
      </w:r>
      <w:r w:rsidR="00275C17" w:rsidRPr="00E25876">
        <w:rPr>
          <w:sz w:val="22"/>
          <w:szCs w:val="22"/>
        </w:rPr>
        <w:t xml:space="preserve"> </w:t>
      </w:r>
      <w:r w:rsidR="004C252F" w:rsidRPr="00E25876">
        <w:rPr>
          <w:sz w:val="22"/>
          <w:szCs w:val="22"/>
        </w:rPr>
        <w:t>niños</w:t>
      </w:r>
      <w:r w:rsidR="00275C17">
        <w:rPr>
          <w:sz w:val="22"/>
          <w:szCs w:val="22"/>
        </w:rPr>
        <w:t xml:space="preserve"> con patología </w:t>
      </w:r>
      <w:r w:rsidR="004C252F" w:rsidRPr="00E25876">
        <w:rPr>
          <w:sz w:val="22"/>
          <w:szCs w:val="22"/>
        </w:rPr>
        <w:t>intersexual pretende mitigar “la ambigüedad sexual”.</w:t>
      </w:r>
      <w:r w:rsidR="006C7D75" w:rsidRPr="00E25876">
        <w:rPr>
          <w:sz w:val="22"/>
          <w:szCs w:val="22"/>
        </w:rPr>
        <w:t xml:space="preserve"> Sin embargo, la cirugía inmediata de “normalización” de género rara vez es una necesidad médica. En general</w:t>
      </w:r>
      <w:r>
        <w:rPr>
          <w:sz w:val="22"/>
          <w:szCs w:val="22"/>
        </w:rPr>
        <w:t>,</w:t>
      </w:r>
      <w:r w:rsidR="006C7D75" w:rsidRPr="00E25876">
        <w:rPr>
          <w:sz w:val="22"/>
          <w:szCs w:val="22"/>
        </w:rPr>
        <w:t xml:space="preserve"> la </w:t>
      </w:r>
      <w:r>
        <w:rPr>
          <w:sz w:val="22"/>
          <w:szCs w:val="22"/>
        </w:rPr>
        <w:t>necesidad de</w:t>
      </w:r>
      <w:r w:rsidR="006C7D75" w:rsidRPr="00E25876">
        <w:rPr>
          <w:sz w:val="22"/>
          <w:szCs w:val="22"/>
        </w:rPr>
        <w:t xml:space="preserve"> actuar con rapidez sobre la definición sexual de los bebés intersexuales no </w:t>
      </w:r>
      <w:r>
        <w:rPr>
          <w:sz w:val="22"/>
          <w:szCs w:val="22"/>
        </w:rPr>
        <w:t>se justifica por un</w:t>
      </w:r>
      <w:r w:rsidR="006C7D75" w:rsidRPr="00E25876">
        <w:rPr>
          <w:sz w:val="22"/>
          <w:szCs w:val="22"/>
        </w:rPr>
        <w:t xml:space="preserve"> peligro médico, sino para disminuir la ansiedad de los padres que ven a su hijo como intersexual cada vez que </w:t>
      </w:r>
      <w:r>
        <w:rPr>
          <w:sz w:val="22"/>
          <w:szCs w:val="22"/>
        </w:rPr>
        <w:t xml:space="preserve">le </w:t>
      </w:r>
      <w:r w:rsidR="006C7D75" w:rsidRPr="00E25876">
        <w:rPr>
          <w:sz w:val="22"/>
          <w:szCs w:val="22"/>
        </w:rPr>
        <w:t>cambian el pañal</w:t>
      </w:r>
      <w:r w:rsidR="003B23EE">
        <w:rPr>
          <w:rStyle w:val="Refdenotaalpie"/>
          <w:sz w:val="22"/>
          <w:szCs w:val="22"/>
        </w:rPr>
        <w:footnoteReference w:id="1"/>
      </w:r>
      <w:r w:rsidR="006C7D75" w:rsidRPr="00E25876">
        <w:rPr>
          <w:sz w:val="22"/>
          <w:szCs w:val="22"/>
        </w:rPr>
        <w:t xml:space="preserve">. Tanto para los padres como para los médicos es mucho </w:t>
      </w:r>
      <w:r w:rsidR="0061387C">
        <w:rPr>
          <w:sz w:val="22"/>
          <w:szCs w:val="22"/>
        </w:rPr>
        <w:t>mejor encuadrar</w:t>
      </w:r>
      <w:r w:rsidR="006C7D75" w:rsidRPr="00E25876">
        <w:rPr>
          <w:sz w:val="22"/>
          <w:szCs w:val="22"/>
        </w:rPr>
        <w:t xml:space="preserve"> al bebé dentro del binario sexual que </w:t>
      </w:r>
      <w:r w:rsidR="0061387C">
        <w:rPr>
          <w:sz w:val="22"/>
          <w:szCs w:val="22"/>
        </w:rPr>
        <w:t>en</w:t>
      </w:r>
      <w:r w:rsidR="006C7D75" w:rsidRPr="00E25876">
        <w:rPr>
          <w:sz w:val="22"/>
          <w:szCs w:val="22"/>
        </w:rPr>
        <w:t xml:space="preserve"> otra categoría.</w:t>
      </w:r>
      <w:r w:rsidR="00E20679" w:rsidRPr="00E25876">
        <w:rPr>
          <w:sz w:val="22"/>
          <w:szCs w:val="22"/>
        </w:rPr>
        <w:t xml:space="preserve"> Por otra parte</w:t>
      </w:r>
      <w:r w:rsidR="00EB0A09">
        <w:rPr>
          <w:sz w:val="22"/>
          <w:szCs w:val="22"/>
        </w:rPr>
        <w:t>,</w:t>
      </w:r>
      <w:r w:rsidR="00E20679" w:rsidRPr="00E25876">
        <w:rPr>
          <w:sz w:val="22"/>
          <w:szCs w:val="22"/>
        </w:rPr>
        <w:t xml:space="preserve"> la intención de “normalizar el sexo” del niño tiene también como intención evitar </w:t>
      </w:r>
      <w:r w:rsidR="0061387C">
        <w:rPr>
          <w:sz w:val="22"/>
          <w:szCs w:val="22"/>
        </w:rPr>
        <w:t xml:space="preserve">en el futuro </w:t>
      </w:r>
      <w:r w:rsidR="00E20679" w:rsidRPr="00E25876">
        <w:rPr>
          <w:sz w:val="22"/>
          <w:szCs w:val="22"/>
        </w:rPr>
        <w:t>la “intimidación y vergüenza” por otros niños, al encajar</w:t>
      </w:r>
      <w:r w:rsidR="0061387C">
        <w:rPr>
          <w:sz w:val="22"/>
          <w:szCs w:val="22"/>
        </w:rPr>
        <w:t>lo</w:t>
      </w:r>
      <w:r w:rsidR="00E20679" w:rsidRPr="00E25876">
        <w:rPr>
          <w:sz w:val="22"/>
          <w:szCs w:val="22"/>
        </w:rPr>
        <w:t xml:space="preserve"> en grupos sexuales definidos. Sin embargo</w:t>
      </w:r>
      <w:r w:rsidR="003D4627">
        <w:rPr>
          <w:sz w:val="22"/>
          <w:szCs w:val="22"/>
        </w:rPr>
        <w:t>,</w:t>
      </w:r>
      <w:r w:rsidR="00E20679" w:rsidRPr="00E25876">
        <w:rPr>
          <w:sz w:val="22"/>
          <w:szCs w:val="22"/>
        </w:rPr>
        <w:t xml:space="preserve"> este tipo de tratamientos y cirugías no </w:t>
      </w:r>
      <w:r w:rsidR="00EB0A09">
        <w:rPr>
          <w:sz w:val="22"/>
          <w:szCs w:val="22"/>
        </w:rPr>
        <w:t xml:space="preserve">siempre </w:t>
      </w:r>
      <w:r w:rsidR="00E20679" w:rsidRPr="00E25876">
        <w:rPr>
          <w:sz w:val="22"/>
          <w:szCs w:val="22"/>
        </w:rPr>
        <w:t xml:space="preserve">consiguen disminuir la ansiedad del </w:t>
      </w:r>
      <w:r w:rsidR="004946C6" w:rsidRPr="00E25876">
        <w:rPr>
          <w:sz w:val="22"/>
          <w:szCs w:val="22"/>
        </w:rPr>
        <w:t>niño,</w:t>
      </w:r>
      <w:r w:rsidR="00E20679" w:rsidRPr="00E25876">
        <w:rPr>
          <w:sz w:val="22"/>
          <w:szCs w:val="22"/>
        </w:rPr>
        <w:t xml:space="preserve"> sino que lo llevan a pensar que su cuerpo es algo inaceptable y por lo que debe estar avergonzado</w:t>
      </w:r>
      <w:r w:rsidR="003B23EE">
        <w:rPr>
          <w:rStyle w:val="Refdenotaalpie"/>
          <w:sz w:val="22"/>
          <w:szCs w:val="22"/>
        </w:rPr>
        <w:footnoteReference w:id="2"/>
      </w:r>
      <w:r w:rsidR="0037273E" w:rsidRPr="0037273E">
        <w:rPr>
          <w:sz w:val="22"/>
          <w:szCs w:val="22"/>
          <w:vertAlign w:val="superscript"/>
        </w:rPr>
        <w:t>,</w:t>
      </w:r>
      <w:r w:rsidR="0037273E">
        <w:rPr>
          <w:rStyle w:val="Refdenotaalpie"/>
          <w:sz w:val="22"/>
          <w:szCs w:val="22"/>
        </w:rPr>
        <w:footnoteReference w:id="3"/>
      </w:r>
      <w:r w:rsidR="0005663F" w:rsidRPr="00613CD9">
        <w:rPr>
          <w:i/>
          <w:sz w:val="16"/>
          <w:szCs w:val="16"/>
        </w:rPr>
        <w:t>.</w:t>
      </w:r>
    </w:p>
    <w:p w14:paraId="52A387BE" w14:textId="60D0DC9E" w:rsidR="007F7964" w:rsidRDefault="0005663F" w:rsidP="00394E74">
      <w:pPr>
        <w:spacing w:afterLines="200" w:after="480" w:line="360" w:lineRule="auto"/>
        <w:jc w:val="both"/>
        <w:rPr>
          <w:sz w:val="22"/>
          <w:szCs w:val="22"/>
        </w:rPr>
      </w:pPr>
      <w:r w:rsidRPr="00E25876">
        <w:rPr>
          <w:sz w:val="22"/>
          <w:szCs w:val="22"/>
        </w:rPr>
        <w:t xml:space="preserve">El tratamiento de los niños </w:t>
      </w:r>
      <w:r w:rsidR="00275C17">
        <w:rPr>
          <w:sz w:val="22"/>
          <w:szCs w:val="22"/>
        </w:rPr>
        <w:t xml:space="preserve">con patología </w:t>
      </w:r>
      <w:r w:rsidRPr="00E25876">
        <w:rPr>
          <w:sz w:val="22"/>
          <w:szCs w:val="22"/>
        </w:rPr>
        <w:t>intersexual no es fácil. Los profesionales sanitarios no solamente deben conoc</w:t>
      </w:r>
      <w:r w:rsidR="00836494">
        <w:rPr>
          <w:sz w:val="22"/>
          <w:szCs w:val="22"/>
        </w:rPr>
        <w:t xml:space="preserve">er </w:t>
      </w:r>
      <w:r w:rsidR="0061387C">
        <w:rPr>
          <w:sz w:val="22"/>
          <w:szCs w:val="22"/>
        </w:rPr>
        <w:t xml:space="preserve">el </w:t>
      </w:r>
      <w:r w:rsidR="00836494">
        <w:rPr>
          <w:sz w:val="22"/>
          <w:szCs w:val="22"/>
        </w:rPr>
        <w:t xml:space="preserve">tipo de cirugía </w:t>
      </w:r>
      <w:r w:rsidR="0061387C">
        <w:rPr>
          <w:sz w:val="22"/>
          <w:szCs w:val="22"/>
        </w:rPr>
        <w:t xml:space="preserve">a </w:t>
      </w:r>
      <w:r w:rsidR="00836494">
        <w:rPr>
          <w:sz w:val="22"/>
          <w:szCs w:val="22"/>
        </w:rPr>
        <w:t>realizar</w:t>
      </w:r>
      <w:r w:rsidRPr="00E25876">
        <w:rPr>
          <w:sz w:val="22"/>
          <w:szCs w:val="22"/>
        </w:rPr>
        <w:t>,</w:t>
      </w:r>
      <w:r w:rsidR="000E3BD8">
        <w:rPr>
          <w:sz w:val="22"/>
          <w:szCs w:val="22"/>
        </w:rPr>
        <w:t xml:space="preserve"> sino también,</w:t>
      </w:r>
      <w:r w:rsidRPr="00E25876">
        <w:rPr>
          <w:sz w:val="22"/>
          <w:szCs w:val="22"/>
        </w:rPr>
        <w:t xml:space="preserve"> y aún más importante</w:t>
      </w:r>
      <w:r w:rsidR="00836494">
        <w:rPr>
          <w:sz w:val="22"/>
          <w:szCs w:val="22"/>
        </w:rPr>
        <w:t>,</w:t>
      </w:r>
      <w:r w:rsidRPr="00E25876">
        <w:rPr>
          <w:sz w:val="22"/>
          <w:szCs w:val="22"/>
        </w:rPr>
        <w:t xml:space="preserve"> cuando evitar una cirugía innecesaria. El objetivo principal del tratamiento debe </w:t>
      </w:r>
      <w:r w:rsidR="00836494">
        <w:rPr>
          <w:sz w:val="22"/>
          <w:szCs w:val="22"/>
        </w:rPr>
        <w:t>a</w:t>
      </w:r>
      <w:r w:rsidRPr="00E25876">
        <w:rPr>
          <w:sz w:val="22"/>
          <w:szCs w:val="22"/>
        </w:rPr>
        <w:t>tenerse a</w:t>
      </w:r>
      <w:r w:rsidR="000E3BD8">
        <w:rPr>
          <w:sz w:val="22"/>
          <w:szCs w:val="22"/>
        </w:rPr>
        <w:t>l</w:t>
      </w:r>
      <w:r w:rsidRPr="00E25876">
        <w:rPr>
          <w:sz w:val="22"/>
          <w:szCs w:val="22"/>
        </w:rPr>
        <w:t xml:space="preserve"> </w:t>
      </w:r>
      <w:r w:rsidR="0061387C">
        <w:rPr>
          <w:sz w:val="22"/>
          <w:szCs w:val="22"/>
        </w:rPr>
        <w:t>interés</w:t>
      </w:r>
      <w:r w:rsidR="00836494">
        <w:rPr>
          <w:sz w:val="22"/>
          <w:szCs w:val="22"/>
        </w:rPr>
        <w:t xml:space="preserve"> del </w:t>
      </w:r>
      <w:r w:rsidR="00275C17">
        <w:rPr>
          <w:sz w:val="22"/>
          <w:szCs w:val="22"/>
        </w:rPr>
        <w:t>menor</w:t>
      </w:r>
      <w:r w:rsidR="00E92442">
        <w:rPr>
          <w:sz w:val="22"/>
          <w:szCs w:val="22"/>
        </w:rPr>
        <w:t>, no</w:t>
      </w:r>
      <w:r w:rsidR="00836494">
        <w:rPr>
          <w:sz w:val="22"/>
          <w:szCs w:val="22"/>
        </w:rPr>
        <w:t xml:space="preserve"> </w:t>
      </w:r>
      <w:r w:rsidR="0061387C">
        <w:rPr>
          <w:sz w:val="22"/>
          <w:szCs w:val="22"/>
        </w:rPr>
        <w:t>a</w:t>
      </w:r>
      <w:r w:rsidR="0061387C" w:rsidRPr="00E25876">
        <w:rPr>
          <w:sz w:val="22"/>
          <w:szCs w:val="22"/>
        </w:rPr>
        <w:t xml:space="preserve"> </w:t>
      </w:r>
      <w:r w:rsidRPr="00E25876">
        <w:rPr>
          <w:sz w:val="22"/>
          <w:szCs w:val="22"/>
        </w:rPr>
        <w:t xml:space="preserve">aliviar el malestar de </w:t>
      </w:r>
      <w:r w:rsidR="0061387C">
        <w:rPr>
          <w:sz w:val="22"/>
          <w:szCs w:val="22"/>
        </w:rPr>
        <w:t>su</w:t>
      </w:r>
      <w:r w:rsidRPr="00E25876">
        <w:rPr>
          <w:sz w:val="22"/>
          <w:szCs w:val="22"/>
        </w:rPr>
        <w:t xml:space="preserve"> familia o entorno social</w:t>
      </w:r>
      <w:r w:rsidR="00836494">
        <w:rPr>
          <w:sz w:val="22"/>
          <w:szCs w:val="22"/>
        </w:rPr>
        <w:t>,</w:t>
      </w:r>
      <w:r w:rsidRPr="00E25876">
        <w:rPr>
          <w:sz w:val="22"/>
          <w:szCs w:val="22"/>
        </w:rPr>
        <w:t xml:space="preserve"> </w:t>
      </w:r>
      <w:r w:rsidR="00275C17">
        <w:rPr>
          <w:sz w:val="22"/>
          <w:szCs w:val="22"/>
        </w:rPr>
        <w:t xml:space="preserve">centrando la actuación médica en </w:t>
      </w:r>
      <w:r w:rsidRPr="00E25876">
        <w:rPr>
          <w:sz w:val="22"/>
          <w:szCs w:val="22"/>
        </w:rPr>
        <w:t>el paciente y en su evolución a lo largo de toda su vida. Un enfoque centrado en la persona implica</w:t>
      </w:r>
      <w:r w:rsidR="0061387C">
        <w:rPr>
          <w:sz w:val="22"/>
          <w:szCs w:val="22"/>
        </w:rPr>
        <w:t>,</w:t>
      </w:r>
      <w:r w:rsidRPr="00E25876">
        <w:rPr>
          <w:sz w:val="22"/>
          <w:szCs w:val="22"/>
        </w:rPr>
        <w:t xml:space="preserve"> a veces</w:t>
      </w:r>
      <w:r w:rsidR="0061387C">
        <w:rPr>
          <w:sz w:val="22"/>
          <w:szCs w:val="22"/>
        </w:rPr>
        <w:t>,</w:t>
      </w:r>
      <w:r w:rsidRPr="00E25876">
        <w:rPr>
          <w:sz w:val="22"/>
          <w:szCs w:val="22"/>
        </w:rPr>
        <w:t xml:space="preserve"> tener que reconocer y tolerar un cierto grado de malestar de la familia</w:t>
      </w:r>
      <w:r w:rsidR="00836494">
        <w:rPr>
          <w:sz w:val="22"/>
          <w:szCs w:val="22"/>
        </w:rPr>
        <w:t>,</w:t>
      </w:r>
      <w:r w:rsidRPr="00E25876">
        <w:rPr>
          <w:sz w:val="22"/>
          <w:szCs w:val="22"/>
        </w:rPr>
        <w:t xml:space="preserve"> a la cual se debe dar apoyo y asesora</w:t>
      </w:r>
      <w:r w:rsidR="00275C17">
        <w:rPr>
          <w:sz w:val="22"/>
          <w:szCs w:val="22"/>
        </w:rPr>
        <w:t>miento</w:t>
      </w:r>
      <w:r w:rsidRPr="00E25876">
        <w:rPr>
          <w:sz w:val="22"/>
          <w:szCs w:val="22"/>
        </w:rPr>
        <w:t xml:space="preserve">, </w:t>
      </w:r>
      <w:r w:rsidR="0061387C">
        <w:rPr>
          <w:sz w:val="22"/>
          <w:szCs w:val="22"/>
        </w:rPr>
        <w:t>planteándoles</w:t>
      </w:r>
      <w:r w:rsidRPr="00E25876">
        <w:rPr>
          <w:sz w:val="22"/>
          <w:szCs w:val="22"/>
        </w:rPr>
        <w:t xml:space="preserve"> que el tratamiento de la intersexualidad no es una emergencia </w:t>
      </w:r>
      <w:r w:rsidR="004946C6" w:rsidRPr="00E25876">
        <w:rPr>
          <w:sz w:val="22"/>
          <w:szCs w:val="22"/>
        </w:rPr>
        <w:t>médica,</w:t>
      </w:r>
      <w:r w:rsidRPr="00E25876">
        <w:rPr>
          <w:sz w:val="22"/>
          <w:szCs w:val="22"/>
        </w:rPr>
        <w:t xml:space="preserve"> sino que debe ser </w:t>
      </w:r>
      <w:r w:rsidR="000E3BD8" w:rsidRPr="00E25876">
        <w:rPr>
          <w:sz w:val="22"/>
          <w:szCs w:val="22"/>
        </w:rPr>
        <w:t>proyectado</w:t>
      </w:r>
      <w:r w:rsidRPr="00E25876">
        <w:rPr>
          <w:sz w:val="22"/>
          <w:szCs w:val="22"/>
        </w:rPr>
        <w:t xml:space="preserve"> como un elemento más del desarrollo integral de la persona a lo largo de su vida.</w:t>
      </w:r>
    </w:p>
    <w:p w14:paraId="669B5505" w14:textId="77777777" w:rsidR="00EB0A09" w:rsidRPr="00394E74" w:rsidRDefault="00971EF1" w:rsidP="00394E74">
      <w:pPr>
        <w:pStyle w:val="Propio3"/>
        <w:spacing w:afterLines="200" w:after="480"/>
        <w:ind w:left="1701" w:hanging="850"/>
      </w:pPr>
      <w:r w:rsidRPr="000E3BD8">
        <w:t>El</w:t>
      </w:r>
      <w:r w:rsidR="007F7964" w:rsidRPr="000E3BD8">
        <w:t xml:space="preserve"> consentimiento para el tratamiento de niños intersexuales</w:t>
      </w:r>
    </w:p>
    <w:p w14:paraId="70198837" w14:textId="77777777" w:rsidR="007F7964" w:rsidRPr="00840E5E" w:rsidRDefault="00971EF1" w:rsidP="00394E74">
      <w:pPr>
        <w:spacing w:afterLines="200" w:after="480" w:line="360" w:lineRule="auto"/>
        <w:jc w:val="both"/>
        <w:rPr>
          <w:i/>
          <w:sz w:val="16"/>
          <w:szCs w:val="16"/>
        </w:rPr>
      </w:pPr>
      <w:r>
        <w:rPr>
          <w:sz w:val="22"/>
          <w:szCs w:val="22"/>
        </w:rPr>
        <w:t>El</w:t>
      </w:r>
      <w:r w:rsidR="007F7964">
        <w:rPr>
          <w:sz w:val="22"/>
          <w:szCs w:val="22"/>
        </w:rPr>
        <w:t xml:space="preserve"> consentimiento es un factor clave que complica cualquier debate sobre cirugía genital o </w:t>
      </w:r>
      <w:r w:rsidR="000E3BD8">
        <w:rPr>
          <w:sz w:val="22"/>
          <w:szCs w:val="22"/>
        </w:rPr>
        <w:t>tratamiento</w:t>
      </w:r>
      <w:r w:rsidR="006F42B7">
        <w:rPr>
          <w:sz w:val="22"/>
          <w:szCs w:val="22"/>
        </w:rPr>
        <w:t>s</w:t>
      </w:r>
      <w:r w:rsidR="007F7964">
        <w:rPr>
          <w:sz w:val="22"/>
          <w:szCs w:val="22"/>
        </w:rPr>
        <w:t xml:space="preserve"> de “normalización” de </w:t>
      </w:r>
      <w:r w:rsidR="00087E0F">
        <w:rPr>
          <w:sz w:val="22"/>
          <w:szCs w:val="22"/>
        </w:rPr>
        <w:t>género</w:t>
      </w:r>
      <w:r w:rsidR="007F7964">
        <w:rPr>
          <w:sz w:val="22"/>
          <w:szCs w:val="22"/>
        </w:rPr>
        <w:t xml:space="preserve"> en niño</w:t>
      </w:r>
      <w:r w:rsidR="006F42B7">
        <w:rPr>
          <w:sz w:val="22"/>
          <w:szCs w:val="22"/>
        </w:rPr>
        <w:t xml:space="preserve">s, </w:t>
      </w:r>
      <w:r w:rsidR="007815D2">
        <w:rPr>
          <w:sz w:val="22"/>
          <w:szCs w:val="22"/>
        </w:rPr>
        <w:t>ya que estos</w:t>
      </w:r>
      <w:r w:rsidR="006F42B7">
        <w:rPr>
          <w:sz w:val="22"/>
          <w:szCs w:val="22"/>
        </w:rPr>
        <w:t xml:space="preserve"> no son capaces de</w:t>
      </w:r>
      <w:r w:rsidR="007F7964">
        <w:rPr>
          <w:sz w:val="22"/>
          <w:szCs w:val="22"/>
        </w:rPr>
        <w:t xml:space="preserve"> dar </w:t>
      </w:r>
      <w:r w:rsidR="006F42B7">
        <w:rPr>
          <w:sz w:val="22"/>
          <w:szCs w:val="22"/>
        </w:rPr>
        <w:t xml:space="preserve">un </w:t>
      </w:r>
      <w:r w:rsidR="007F7964">
        <w:rPr>
          <w:sz w:val="22"/>
          <w:szCs w:val="22"/>
        </w:rPr>
        <w:t>consentimiento informad</w:t>
      </w:r>
      <w:r w:rsidR="00275C17">
        <w:rPr>
          <w:sz w:val="22"/>
          <w:szCs w:val="22"/>
        </w:rPr>
        <w:t>o</w:t>
      </w:r>
      <w:r w:rsidR="007815D2">
        <w:rPr>
          <w:sz w:val="22"/>
          <w:szCs w:val="22"/>
        </w:rPr>
        <w:t xml:space="preserve"> válido</w:t>
      </w:r>
      <w:r w:rsidR="000E3BD8">
        <w:rPr>
          <w:sz w:val="22"/>
          <w:szCs w:val="22"/>
        </w:rPr>
        <w:t>. L</w:t>
      </w:r>
      <w:r w:rsidR="007F7964">
        <w:rPr>
          <w:sz w:val="22"/>
          <w:szCs w:val="22"/>
        </w:rPr>
        <w:t>os padres son los representantes legales del niño y</w:t>
      </w:r>
      <w:r w:rsidR="006F42B7">
        <w:rPr>
          <w:sz w:val="22"/>
          <w:szCs w:val="22"/>
        </w:rPr>
        <w:t>,</w:t>
      </w:r>
      <w:r w:rsidR="007F7964">
        <w:rPr>
          <w:sz w:val="22"/>
          <w:szCs w:val="22"/>
        </w:rPr>
        <w:t xml:space="preserve"> por tanto</w:t>
      </w:r>
      <w:r w:rsidR="006F42B7">
        <w:rPr>
          <w:sz w:val="22"/>
          <w:szCs w:val="22"/>
        </w:rPr>
        <w:t>,</w:t>
      </w:r>
      <w:r w:rsidR="007F7964">
        <w:rPr>
          <w:sz w:val="22"/>
          <w:szCs w:val="22"/>
        </w:rPr>
        <w:t xml:space="preserve"> los que deben </w:t>
      </w:r>
      <w:r w:rsidR="007815D2">
        <w:rPr>
          <w:sz w:val="22"/>
          <w:szCs w:val="22"/>
        </w:rPr>
        <w:t>consentir</w:t>
      </w:r>
      <w:r w:rsidR="007F7964">
        <w:rPr>
          <w:sz w:val="22"/>
          <w:szCs w:val="22"/>
        </w:rPr>
        <w:t xml:space="preserve"> la cirugía</w:t>
      </w:r>
      <w:r>
        <w:rPr>
          <w:sz w:val="22"/>
          <w:szCs w:val="22"/>
        </w:rPr>
        <w:t>. Pero la cuestión crucial es ¿están los padres suficientemente informados sobre la decisión que van a tomar? ¿Han sido completamente informados sobre todas las opciones terapéuticas</w:t>
      </w:r>
      <w:r w:rsidR="006F42B7">
        <w:rPr>
          <w:sz w:val="22"/>
          <w:szCs w:val="22"/>
        </w:rPr>
        <w:t>, tanto quirúrgicas como médicas?</w:t>
      </w:r>
      <w:r>
        <w:rPr>
          <w:sz w:val="22"/>
          <w:szCs w:val="22"/>
        </w:rPr>
        <w:t xml:space="preserve"> Posiblemente muchos padres piensen que el tratamiento</w:t>
      </w:r>
      <w:r w:rsidR="007815D2">
        <w:rPr>
          <w:sz w:val="22"/>
          <w:szCs w:val="22"/>
        </w:rPr>
        <w:t>, incluyendo el quirúrgico,</w:t>
      </w:r>
      <w:r>
        <w:rPr>
          <w:sz w:val="22"/>
          <w:szCs w:val="22"/>
        </w:rPr>
        <w:t xml:space="preserve"> es la mejor opción dado que así </w:t>
      </w:r>
      <w:r w:rsidR="007815D2">
        <w:rPr>
          <w:sz w:val="22"/>
          <w:szCs w:val="22"/>
        </w:rPr>
        <w:t>su hijo</w:t>
      </w:r>
      <w:r>
        <w:rPr>
          <w:sz w:val="22"/>
          <w:szCs w:val="22"/>
        </w:rPr>
        <w:t xml:space="preserve"> será un niño “normal” y</w:t>
      </w:r>
      <w:r w:rsidR="007815D2">
        <w:rPr>
          <w:sz w:val="22"/>
          <w:szCs w:val="22"/>
        </w:rPr>
        <w:t>,</w:t>
      </w:r>
      <w:r>
        <w:rPr>
          <w:sz w:val="22"/>
          <w:szCs w:val="22"/>
        </w:rPr>
        <w:t xml:space="preserve"> por tanto</w:t>
      </w:r>
      <w:r w:rsidR="007815D2">
        <w:rPr>
          <w:sz w:val="22"/>
          <w:szCs w:val="22"/>
        </w:rPr>
        <w:t>,</w:t>
      </w:r>
      <w:r>
        <w:rPr>
          <w:sz w:val="22"/>
          <w:szCs w:val="22"/>
        </w:rPr>
        <w:t xml:space="preserve"> socialmente aceptado</w:t>
      </w:r>
      <w:r w:rsidR="0037273E">
        <w:rPr>
          <w:rStyle w:val="Refdenotaalpie"/>
          <w:sz w:val="22"/>
          <w:szCs w:val="22"/>
        </w:rPr>
        <w:footnoteReference w:id="4"/>
      </w:r>
      <w:r w:rsidR="00840E5E" w:rsidRPr="00840E5E">
        <w:rPr>
          <w:i/>
          <w:sz w:val="16"/>
          <w:szCs w:val="16"/>
        </w:rPr>
        <w:t>.</w:t>
      </w:r>
    </w:p>
    <w:p w14:paraId="1E8B994C" w14:textId="77777777" w:rsidR="00726A8B" w:rsidRDefault="00971EF1" w:rsidP="00394E74">
      <w:pPr>
        <w:spacing w:afterLines="200" w:after="480" w:line="360" w:lineRule="auto"/>
        <w:jc w:val="both"/>
        <w:rPr>
          <w:sz w:val="22"/>
          <w:szCs w:val="22"/>
        </w:rPr>
      </w:pPr>
      <w:r>
        <w:rPr>
          <w:sz w:val="22"/>
          <w:szCs w:val="22"/>
        </w:rPr>
        <w:t xml:space="preserve">Una de las opciones es </w:t>
      </w:r>
      <w:r w:rsidR="007815D2">
        <w:rPr>
          <w:sz w:val="22"/>
          <w:szCs w:val="22"/>
        </w:rPr>
        <w:t>diferir</w:t>
      </w:r>
      <w:r>
        <w:rPr>
          <w:sz w:val="22"/>
          <w:szCs w:val="22"/>
        </w:rPr>
        <w:t xml:space="preserve"> la cirugía hasta que el niño tenga una edad suficiente para dar </w:t>
      </w:r>
      <w:r w:rsidR="007815D2">
        <w:rPr>
          <w:sz w:val="22"/>
          <w:szCs w:val="22"/>
        </w:rPr>
        <w:t xml:space="preserve">un </w:t>
      </w:r>
      <w:r>
        <w:rPr>
          <w:sz w:val="22"/>
          <w:szCs w:val="22"/>
        </w:rPr>
        <w:t xml:space="preserve">consentimiento </w:t>
      </w:r>
      <w:r w:rsidR="007815D2">
        <w:rPr>
          <w:sz w:val="22"/>
          <w:szCs w:val="22"/>
        </w:rPr>
        <w:t xml:space="preserve">válido </w:t>
      </w:r>
      <w:r>
        <w:rPr>
          <w:sz w:val="22"/>
          <w:szCs w:val="22"/>
        </w:rPr>
        <w:t>y sopesar los beneficios y riesgos. Después de escuchar los testimonios de algunos individuos intersexuales parece razonable y prudente esperar hasta que el niño tenga madurez suficiente para dar su consentimiento</w:t>
      </w:r>
      <w:r w:rsidR="0037273E">
        <w:rPr>
          <w:rStyle w:val="Refdenotaalpie"/>
          <w:sz w:val="22"/>
          <w:szCs w:val="22"/>
        </w:rPr>
        <w:footnoteReference w:id="5"/>
      </w:r>
      <w:r>
        <w:rPr>
          <w:sz w:val="22"/>
          <w:szCs w:val="22"/>
        </w:rPr>
        <w:t>. Por otra parte, el hecho de la existencia de micropene o clitoromegalia en personas intersexuales no necesariamente se acompaña de deseos de terapia quirúrgica</w:t>
      </w:r>
      <w:r w:rsidR="0037273E">
        <w:rPr>
          <w:rStyle w:val="Refdenotaalpie"/>
          <w:sz w:val="22"/>
          <w:szCs w:val="22"/>
        </w:rPr>
        <w:footnoteReference w:id="6"/>
      </w:r>
      <w:r w:rsidR="0037273E">
        <w:rPr>
          <w:sz w:val="22"/>
          <w:szCs w:val="22"/>
        </w:rPr>
        <w:t>.</w:t>
      </w:r>
    </w:p>
    <w:p w14:paraId="6C84C110" w14:textId="77777777" w:rsidR="009E77FF" w:rsidRDefault="00275C17" w:rsidP="00394E74">
      <w:pPr>
        <w:spacing w:afterLines="200" w:after="480" w:line="360" w:lineRule="auto"/>
        <w:jc w:val="both"/>
        <w:rPr>
          <w:sz w:val="22"/>
          <w:szCs w:val="22"/>
        </w:rPr>
      </w:pPr>
      <w:r>
        <w:rPr>
          <w:sz w:val="22"/>
          <w:szCs w:val="22"/>
        </w:rPr>
        <w:t xml:space="preserve">La mayor parte de los </w:t>
      </w:r>
      <w:r w:rsidR="00087E0F">
        <w:rPr>
          <w:sz w:val="22"/>
          <w:szCs w:val="22"/>
        </w:rPr>
        <w:t>autores piensan</w:t>
      </w:r>
      <w:r w:rsidR="00971EF1">
        <w:rPr>
          <w:sz w:val="22"/>
          <w:szCs w:val="22"/>
        </w:rPr>
        <w:t xml:space="preserve"> que la cirugía genital no es médicamente necesaria</w:t>
      </w:r>
      <w:r w:rsidR="008C6B8A">
        <w:rPr>
          <w:sz w:val="22"/>
          <w:szCs w:val="22"/>
        </w:rPr>
        <w:t xml:space="preserve"> y que</w:t>
      </w:r>
      <w:r w:rsidR="00971EF1">
        <w:rPr>
          <w:sz w:val="22"/>
          <w:szCs w:val="22"/>
        </w:rPr>
        <w:t xml:space="preserve"> </w:t>
      </w:r>
      <w:r w:rsidR="007815D2">
        <w:rPr>
          <w:sz w:val="22"/>
          <w:szCs w:val="22"/>
        </w:rPr>
        <w:t xml:space="preserve">nunca </w:t>
      </w:r>
      <w:r w:rsidR="00971EF1">
        <w:rPr>
          <w:sz w:val="22"/>
          <w:szCs w:val="22"/>
        </w:rPr>
        <w:t xml:space="preserve">debería </w:t>
      </w:r>
      <w:r w:rsidR="00B84AF9">
        <w:rPr>
          <w:sz w:val="22"/>
          <w:szCs w:val="22"/>
        </w:rPr>
        <w:t xml:space="preserve">realizarse </w:t>
      </w:r>
      <w:r w:rsidR="00971EF1">
        <w:rPr>
          <w:sz w:val="22"/>
          <w:szCs w:val="22"/>
        </w:rPr>
        <w:t>sin el consentimiento del paciente</w:t>
      </w:r>
      <w:r w:rsidR="007815D2">
        <w:rPr>
          <w:sz w:val="22"/>
          <w:szCs w:val="22"/>
        </w:rPr>
        <w:t>.</w:t>
      </w:r>
      <w:r w:rsidR="00EB0A09">
        <w:rPr>
          <w:sz w:val="22"/>
          <w:szCs w:val="22"/>
        </w:rPr>
        <w:t xml:space="preserve"> </w:t>
      </w:r>
      <w:r w:rsidR="007815D2">
        <w:rPr>
          <w:sz w:val="22"/>
          <w:szCs w:val="22"/>
        </w:rPr>
        <w:t>La</w:t>
      </w:r>
      <w:r w:rsidR="009E77FF">
        <w:rPr>
          <w:sz w:val="22"/>
          <w:szCs w:val="22"/>
        </w:rPr>
        <w:t xml:space="preserve"> cirugía genital en pacientes menores intersexuales es un tratamiento crucial</w:t>
      </w:r>
      <w:r w:rsidR="000E3BD8">
        <w:rPr>
          <w:sz w:val="22"/>
          <w:szCs w:val="22"/>
        </w:rPr>
        <w:t>,</w:t>
      </w:r>
      <w:r w:rsidR="009E77FF">
        <w:rPr>
          <w:sz w:val="22"/>
          <w:szCs w:val="22"/>
        </w:rPr>
        <w:t xml:space="preserve"> </w:t>
      </w:r>
      <w:r w:rsidR="007815D2">
        <w:rPr>
          <w:sz w:val="22"/>
          <w:szCs w:val="22"/>
        </w:rPr>
        <w:t xml:space="preserve">cuyas </w:t>
      </w:r>
      <w:r w:rsidR="009E77FF">
        <w:rPr>
          <w:sz w:val="22"/>
          <w:szCs w:val="22"/>
        </w:rPr>
        <w:t>consecuencias cambian definitivamente la vida de la persona intersexual</w:t>
      </w:r>
      <w:r>
        <w:rPr>
          <w:sz w:val="22"/>
          <w:szCs w:val="22"/>
        </w:rPr>
        <w:t xml:space="preserve">. </w:t>
      </w:r>
      <w:r w:rsidR="00CE315C">
        <w:rPr>
          <w:sz w:val="22"/>
          <w:szCs w:val="22"/>
        </w:rPr>
        <w:t>Por eso</w:t>
      </w:r>
      <w:r w:rsidR="00EB0A09">
        <w:rPr>
          <w:sz w:val="22"/>
          <w:szCs w:val="22"/>
        </w:rPr>
        <w:t>,</w:t>
      </w:r>
      <w:r w:rsidR="009E77FF">
        <w:rPr>
          <w:sz w:val="22"/>
          <w:szCs w:val="22"/>
        </w:rPr>
        <w:t xml:space="preserve"> este tipo de decisiones deben </w:t>
      </w:r>
      <w:r w:rsidR="00EB0A09">
        <w:rPr>
          <w:sz w:val="22"/>
          <w:szCs w:val="22"/>
        </w:rPr>
        <w:t xml:space="preserve">tomarse </w:t>
      </w:r>
      <w:r w:rsidR="009E77FF">
        <w:rPr>
          <w:sz w:val="22"/>
          <w:szCs w:val="22"/>
        </w:rPr>
        <w:t xml:space="preserve">cautelosamente y </w:t>
      </w:r>
      <w:r w:rsidR="00EB0A09">
        <w:rPr>
          <w:sz w:val="22"/>
          <w:szCs w:val="22"/>
        </w:rPr>
        <w:t xml:space="preserve">siempre </w:t>
      </w:r>
      <w:r w:rsidR="009E77FF">
        <w:rPr>
          <w:sz w:val="22"/>
          <w:szCs w:val="22"/>
        </w:rPr>
        <w:t xml:space="preserve">deberían esperar </w:t>
      </w:r>
      <w:r w:rsidR="00EB0A09">
        <w:rPr>
          <w:sz w:val="22"/>
          <w:szCs w:val="22"/>
        </w:rPr>
        <w:t>a que el</w:t>
      </w:r>
      <w:r w:rsidR="009E77FF">
        <w:rPr>
          <w:sz w:val="22"/>
          <w:szCs w:val="22"/>
        </w:rPr>
        <w:t xml:space="preserve"> niño</w:t>
      </w:r>
      <w:r w:rsidR="000E3BD8">
        <w:rPr>
          <w:sz w:val="22"/>
          <w:szCs w:val="22"/>
        </w:rPr>
        <w:t xml:space="preserve"> haya madurado su personalidad</w:t>
      </w:r>
      <w:r w:rsidR="00EB0A09">
        <w:rPr>
          <w:sz w:val="22"/>
          <w:szCs w:val="22"/>
        </w:rPr>
        <w:t xml:space="preserve"> para dar un consentimiento válido</w:t>
      </w:r>
      <w:r w:rsidR="009E77FF">
        <w:rPr>
          <w:sz w:val="22"/>
          <w:szCs w:val="22"/>
        </w:rPr>
        <w:t>.</w:t>
      </w:r>
    </w:p>
    <w:tbl>
      <w:tblPr>
        <w:tblStyle w:val="Tablaconcuadrcula"/>
        <w:tblW w:w="0" w:type="auto"/>
        <w:tblLook w:val="04A0" w:firstRow="1" w:lastRow="0" w:firstColumn="1" w:lastColumn="0" w:noHBand="0" w:noVBand="1"/>
      </w:tblPr>
      <w:tblGrid>
        <w:gridCol w:w="8494"/>
      </w:tblGrid>
      <w:tr w:rsidR="00613CD9" w:rsidRPr="009E77FF" w14:paraId="0888642A" w14:textId="77777777" w:rsidTr="00414102">
        <w:trPr>
          <w:trHeight w:val="3659"/>
        </w:trPr>
        <w:tc>
          <w:tcPr>
            <w:tcW w:w="8494" w:type="dxa"/>
          </w:tcPr>
          <w:p w14:paraId="3BEF7574" w14:textId="77777777" w:rsidR="00903E55" w:rsidRPr="008C6B8A" w:rsidRDefault="00903E55" w:rsidP="00394E74">
            <w:pPr>
              <w:spacing w:afterLines="200" w:after="480" w:line="360" w:lineRule="auto"/>
              <w:jc w:val="both"/>
              <w:rPr>
                <w:i/>
                <w:sz w:val="22"/>
                <w:szCs w:val="22"/>
              </w:rPr>
            </w:pPr>
            <w:proofErr w:type="gramStart"/>
            <w:r w:rsidRPr="008C6B8A">
              <w:rPr>
                <w:i/>
                <w:sz w:val="22"/>
                <w:szCs w:val="22"/>
              </w:rPr>
              <w:t xml:space="preserve">En relación </w:t>
            </w:r>
            <w:r w:rsidR="00B72954">
              <w:rPr>
                <w:i/>
                <w:sz w:val="22"/>
                <w:szCs w:val="22"/>
              </w:rPr>
              <w:t>a</w:t>
            </w:r>
            <w:proofErr w:type="gramEnd"/>
            <w:r w:rsidR="00B72954">
              <w:rPr>
                <w:i/>
                <w:sz w:val="22"/>
                <w:szCs w:val="22"/>
              </w:rPr>
              <w:t xml:space="preserve"> la</w:t>
            </w:r>
            <w:r w:rsidRPr="008C6B8A">
              <w:rPr>
                <w:i/>
                <w:sz w:val="22"/>
                <w:szCs w:val="22"/>
              </w:rPr>
              <w:t xml:space="preserve"> </w:t>
            </w:r>
            <w:r w:rsidR="001B2753">
              <w:rPr>
                <w:i/>
                <w:sz w:val="22"/>
                <w:szCs w:val="22"/>
              </w:rPr>
              <w:t xml:space="preserve">proposición de ley </w:t>
            </w:r>
            <w:r w:rsidRPr="008C6B8A">
              <w:rPr>
                <w:i/>
                <w:sz w:val="22"/>
                <w:szCs w:val="22"/>
              </w:rPr>
              <w:t>cabria, por tanto</w:t>
            </w:r>
            <w:r w:rsidR="00CE315C">
              <w:rPr>
                <w:i/>
                <w:sz w:val="22"/>
                <w:szCs w:val="22"/>
              </w:rPr>
              <w:t>,</w:t>
            </w:r>
            <w:r w:rsidRPr="008C6B8A">
              <w:rPr>
                <w:i/>
                <w:sz w:val="22"/>
                <w:szCs w:val="22"/>
              </w:rPr>
              <w:t xml:space="preserve"> realizar los siguientes comentarios: </w:t>
            </w:r>
          </w:p>
          <w:p w14:paraId="6C79B9AE" w14:textId="77777777" w:rsidR="00613CD9" w:rsidRPr="008C6B8A" w:rsidRDefault="00613CD9" w:rsidP="00394E74">
            <w:pPr>
              <w:pStyle w:val="Prrafodelista"/>
              <w:numPr>
                <w:ilvl w:val="0"/>
                <w:numId w:val="14"/>
              </w:numPr>
              <w:spacing w:afterLines="200" w:after="480" w:line="360" w:lineRule="auto"/>
              <w:jc w:val="both"/>
              <w:rPr>
                <w:i/>
                <w:sz w:val="22"/>
                <w:szCs w:val="22"/>
              </w:rPr>
            </w:pPr>
            <w:proofErr w:type="gramStart"/>
            <w:r w:rsidRPr="008C6B8A">
              <w:rPr>
                <w:b/>
                <w:i/>
                <w:sz w:val="22"/>
                <w:szCs w:val="22"/>
              </w:rPr>
              <w:t xml:space="preserve">En relación </w:t>
            </w:r>
            <w:r w:rsidR="00903E55" w:rsidRPr="008C6B8A">
              <w:rPr>
                <w:b/>
                <w:i/>
                <w:sz w:val="22"/>
                <w:szCs w:val="22"/>
              </w:rPr>
              <w:t>a</w:t>
            </w:r>
            <w:proofErr w:type="gramEnd"/>
            <w:r w:rsidR="00903E55" w:rsidRPr="008C6B8A">
              <w:rPr>
                <w:b/>
                <w:i/>
                <w:sz w:val="22"/>
                <w:szCs w:val="22"/>
              </w:rPr>
              <w:t xml:space="preserve"> la redacción de</w:t>
            </w:r>
            <w:r w:rsidRPr="008C6B8A">
              <w:rPr>
                <w:b/>
                <w:i/>
                <w:sz w:val="22"/>
                <w:szCs w:val="22"/>
              </w:rPr>
              <w:t>l artículo 13</w:t>
            </w:r>
            <w:r w:rsidRPr="008C6B8A">
              <w:rPr>
                <w:i/>
                <w:sz w:val="22"/>
                <w:szCs w:val="22"/>
              </w:rPr>
              <w:t xml:space="preserve"> (</w:t>
            </w:r>
            <w:r w:rsidR="00C1450C">
              <w:rPr>
                <w:i/>
                <w:sz w:val="22"/>
                <w:szCs w:val="22"/>
              </w:rPr>
              <w:t>P</w:t>
            </w:r>
            <w:r w:rsidRPr="008C6B8A">
              <w:rPr>
                <w:i/>
                <w:sz w:val="22"/>
                <w:szCs w:val="22"/>
              </w:rPr>
              <w:t xml:space="preserve">rotocolo de atención integral a personas intersexuales) en el </w:t>
            </w:r>
            <w:r w:rsidR="00B36C5B" w:rsidRPr="009865D1">
              <w:rPr>
                <w:b/>
                <w:i/>
                <w:sz w:val="22"/>
                <w:szCs w:val="22"/>
              </w:rPr>
              <w:t xml:space="preserve">punto 1 </w:t>
            </w:r>
            <w:r w:rsidR="00B36C5B">
              <w:rPr>
                <w:i/>
                <w:sz w:val="22"/>
                <w:szCs w:val="22"/>
              </w:rPr>
              <w:t xml:space="preserve">sugerimos </w:t>
            </w:r>
            <w:r w:rsidR="00B72954">
              <w:rPr>
                <w:i/>
                <w:sz w:val="22"/>
                <w:szCs w:val="22"/>
              </w:rPr>
              <w:t>la siguiente redacción</w:t>
            </w:r>
            <w:r w:rsidR="00C1450C">
              <w:rPr>
                <w:i/>
                <w:sz w:val="22"/>
                <w:szCs w:val="22"/>
              </w:rPr>
              <w:t xml:space="preserve">: </w:t>
            </w:r>
            <w:r w:rsidR="009865D1">
              <w:rPr>
                <w:i/>
                <w:sz w:val="22"/>
                <w:szCs w:val="22"/>
              </w:rPr>
              <w:t>“Se</w:t>
            </w:r>
            <w:r w:rsidR="00C1450C" w:rsidRPr="009865D1">
              <w:rPr>
                <w:b/>
                <w:i/>
                <w:sz w:val="22"/>
                <w:szCs w:val="22"/>
              </w:rPr>
              <w:t xml:space="preserve"> establecerá un protocolo específico de actuación en materia de intersexualidad, que incluirá atención psicológica adecuada y los tratamientos de asignación de sexo requeridos en atención al género </w:t>
            </w:r>
            <w:r w:rsidR="009865D1" w:rsidRPr="009865D1">
              <w:rPr>
                <w:b/>
                <w:i/>
                <w:sz w:val="22"/>
                <w:szCs w:val="22"/>
              </w:rPr>
              <w:t>sentido.</w:t>
            </w:r>
            <w:r w:rsidR="00C1450C">
              <w:rPr>
                <w:b/>
                <w:i/>
                <w:sz w:val="22"/>
                <w:szCs w:val="22"/>
              </w:rPr>
              <w:t xml:space="preserve"> No obstante, </w:t>
            </w:r>
            <w:r w:rsidR="00B72954">
              <w:rPr>
                <w:b/>
                <w:i/>
                <w:sz w:val="22"/>
                <w:szCs w:val="22"/>
                <w:u w:val="single"/>
              </w:rPr>
              <w:t>estos</w:t>
            </w:r>
            <w:r w:rsidR="00B72954" w:rsidRPr="009865D1">
              <w:rPr>
                <w:b/>
                <w:i/>
                <w:sz w:val="22"/>
                <w:szCs w:val="22"/>
                <w:u w:val="single"/>
              </w:rPr>
              <w:t xml:space="preserve"> </w:t>
            </w:r>
            <w:r w:rsidRPr="009865D1">
              <w:rPr>
                <w:b/>
                <w:i/>
                <w:sz w:val="22"/>
                <w:szCs w:val="22"/>
                <w:u w:val="single"/>
              </w:rPr>
              <w:t>tratamientos no deberían aplicarse de modo genérico a menores de edad</w:t>
            </w:r>
            <w:r w:rsidRPr="008C6B8A">
              <w:rPr>
                <w:b/>
                <w:i/>
                <w:sz w:val="22"/>
                <w:szCs w:val="22"/>
              </w:rPr>
              <w:t>.</w:t>
            </w:r>
            <w:r w:rsidR="00365FAC" w:rsidRPr="008C6B8A">
              <w:rPr>
                <w:b/>
                <w:i/>
                <w:sz w:val="22"/>
                <w:szCs w:val="22"/>
              </w:rPr>
              <w:t xml:space="preserve"> </w:t>
            </w:r>
            <w:r w:rsidR="00365FAC" w:rsidRPr="008C6B8A">
              <w:rPr>
                <w:i/>
                <w:sz w:val="22"/>
                <w:szCs w:val="22"/>
              </w:rPr>
              <w:t xml:space="preserve">Esta aseveración </w:t>
            </w:r>
            <w:r w:rsidR="00143442">
              <w:rPr>
                <w:i/>
                <w:sz w:val="22"/>
                <w:szCs w:val="22"/>
              </w:rPr>
              <w:t xml:space="preserve">se basa en </w:t>
            </w:r>
            <w:r w:rsidR="00365FAC" w:rsidRPr="008C6B8A">
              <w:rPr>
                <w:i/>
                <w:sz w:val="22"/>
                <w:szCs w:val="22"/>
              </w:rPr>
              <w:t>que en muchos casos de intersexualidad no existe evidencia científica sobre cuál es la mejor opción terapéutica ni cuándo debe realizarse. Por otra parte</w:t>
            </w:r>
            <w:r w:rsidR="00143442">
              <w:rPr>
                <w:i/>
                <w:sz w:val="22"/>
                <w:szCs w:val="22"/>
              </w:rPr>
              <w:t>,</w:t>
            </w:r>
            <w:r w:rsidR="00365FAC" w:rsidRPr="008C6B8A">
              <w:rPr>
                <w:i/>
                <w:sz w:val="22"/>
                <w:szCs w:val="22"/>
              </w:rPr>
              <w:t xml:space="preserve"> debería tenerse en cuenta el mejor interés de la persona intersexual no solamente durante su infancia sino también durante la fase adulta.</w:t>
            </w:r>
          </w:p>
          <w:p w14:paraId="14D5408C" w14:textId="77777777" w:rsidR="00613CD9" w:rsidRPr="008C6B8A" w:rsidRDefault="00613CD9" w:rsidP="00394E74">
            <w:pPr>
              <w:pStyle w:val="Prrafodelista"/>
              <w:numPr>
                <w:ilvl w:val="0"/>
                <w:numId w:val="14"/>
              </w:numPr>
              <w:spacing w:afterLines="200" w:after="480" w:line="360" w:lineRule="auto"/>
              <w:jc w:val="both"/>
              <w:rPr>
                <w:i/>
                <w:sz w:val="22"/>
                <w:szCs w:val="22"/>
              </w:rPr>
            </w:pPr>
            <w:r w:rsidRPr="008C6B8A">
              <w:rPr>
                <w:b/>
                <w:i/>
                <w:sz w:val="22"/>
                <w:szCs w:val="22"/>
              </w:rPr>
              <w:t>E</w:t>
            </w:r>
            <w:r w:rsidR="00903E55" w:rsidRPr="008C6B8A">
              <w:rPr>
                <w:b/>
                <w:i/>
                <w:sz w:val="22"/>
                <w:szCs w:val="22"/>
              </w:rPr>
              <w:t xml:space="preserve">n </w:t>
            </w:r>
            <w:r w:rsidR="00B36C5B" w:rsidRPr="00B36C5B">
              <w:rPr>
                <w:b/>
                <w:i/>
                <w:sz w:val="22"/>
                <w:szCs w:val="22"/>
              </w:rPr>
              <w:t xml:space="preserve">la redacción del artículo 13 </w:t>
            </w:r>
            <w:r w:rsidR="00B36C5B" w:rsidRPr="009865D1">
              <w:rPr>
                <w:i/>
                <w:sz w:val="22"/>
                <w:szCs w:val="22"/>
              </w:rPr>
              <w:t>(</w:t>
            </w:r>
            <w:r w:rsidR="00C1450C" w:rsidRPr="009865D1">
              <w:rPr>
                <w:i/>
                <w:sz w:val="22"/>
                <w:szCs w:val="22"/>
              </w:rPr>
              <w:t>P</w:t>
            </w:r>
            <w:r w:rsidR="00B36C5B" w:rsidRPr="009865D1">
              <w:rPr>
                <w:i/>
                <w:sz w:val="22"/>
                <w:szCs w:val="22"/>
              </w:rPr>
              <w:t>rotocolo de atención integral a personas intersexuales)</w:t>
            </w:r>
            <w:r w:rsidR="00DB66E9">
              <w:rPr>
                <w:i/>
                <w:sz w:val="22"/>
                <w:szCs w:val="22"/>
              </w:rPr>
              <w:t>, debería añadirse el texto siguiente</w:t>
            </w:r>
            <w:r w:rsidR="00B72954">
              <w:rPr>
                <w:i/>
                <w:sz w:val="22"/>
                <w:szCs w:val="22"/>
              </w:rPr>
              <w:t xml:space="preserve"> </w:t>
            </w:r>
            <w:r w:rsidR="00B72954" w:rsidRPr="009865D1">
              <w:rPr>
                <w:i/>
                <w:sz w:val="22"/>
                <w:szCs w:val="22"/>
              </w:rPr>
              <w:t xml:space="preserve">en </w:t>
            </w:r>
            <w:r w:rsidR="00B72954" w:rsidRPr="00B36C5B">
              <w:rPr>
                <w:b/>
                <w:i/>
                <w:sz w:val="22"/>
                <w:szCs w:val="22"/>
              </w:rPr>
              <w:t xml:space="preserve">el </w:t>
            </w:r>
            <w:r w:rsidR="00B72954" w:rsidRPr="009865D1">
              <w:rPr>
                <w:b/>
                <w:i/>
                <w:sz w:val="22"/>
                <w:szCs w:val="22"/>
              </w:rPr>
              <w:t>punto 2 o siguientes</w:t>
            </w:r>
            <w:r w:rsidR="00DB66E9">
              <w:rPr>
                <w:i/>
                <w:sz w:val="22"/>
                <w:szCs w:val="22"/>
              </w:rPr>
              <w:t xml:space="preserve">: </w:t>
            </w:r>
            <w:r w:rsidR="00087E0F" w:rsidRPr="009865D1">
              <w:rPr>
                <w:b/>
                <w:i/>
                <w:sz w:val="22"/>
                <w:szCs w:val="22"/>
                <w:u w:val="single"/>
              </w:rPr>
              <w:t>“</w:t>
            </w:r>
            <w:r w:rsidR="00DB66E9">
              <w:rPr>
                <w:b/>
                <w:i/>
                <w:sz w:val="22"/>
                <w:szCs w:val="22"/>
                <w:u w:val="single"/>
              </w:rPr>
              <w:t>E</w:t>
            </w:r>
            <w:r w:rsidRPr="009865D1">
              <w:rPr>
                <w:b/>
                <w:i/>
                <w:sz w:val="22"/>
                <w:szCs w:val="22"/>
                <w:u w:val="single"/>
              </w:rPr>
              <w:t>n l</w:t>
            </w:r>
            <w:r w:rsidR="00087E0F" w:rsidRPr="009865D1">
              <w:rPr>
                <w:b/>
                <w:i/>
                <w:sz w:val="22"/>
                <w:szCs w:val="22"/>
                <w:u w:val="single"/>
              </w:rPr>
              <w:t>os</w:t>
            </w:r>
            <w:r w:rsidRPr="009865D1">
              <w:rPr>
                <w:b/>
                <w:i/>
                <w:sz w:val="22"/>
                <w:szCs w:val="22"/>
                <w:u w:val="single"/>
              </w:rPr>
              <w:t xml:space="preserve"> caso</w:t>
            </w:r>
            <w:r w:rsidR="00087E0F" w:rsidRPr="009865D1">
              <w:rPr>
                <w:b/>
                <w:i/>
                <w:sz w:val="22"/>
                <w:szCs w:val="22"/>
                <w:u w:val="single"/>
              </w:rPr>
              <w:t>s</w:t>
            </w:r>
            <w:r w:rsidR="00EB0A09">
              <w:rPr>
                <w:b/>
                <w:i/>
                <w:sz w:val="22"/>
                <w:szCs w:val="22"/>
                <w:u w:val="single"/>
              </w:rPr>
              <w:t xml:space="preserve"> de</w:t>
            </w:r>
            <w:r w:rsidR="00087E0F" w:rsidRPr="009865D1">
              <w:rPr>
                <w:b/>
                <w:i/>
                <w:sz w:val="22"/>
                <w:szCs w:val="22"/>
                <w:u w:val="single"/>
              </w:rPr>
              <w:t xml:space="preserve"> </w:t>
            </w:r>
            <w:r w:rsidRPr="009865D1">
              <w:rPr>
                <w:b/>
                <w:i/>
                <w:sz w:val="22"/>
                <w:szCs w:val="22"/>
                <w:u w:val="single"/>
              </w:rPr>
              <w:t>recién nacida</w:t>
            </w:r>
            <w:r w:rsidR="00087E0F" w:rsidRPr="009865D1">
              <w:rPr>
                <w:b/>
                <w:i/>
                <w:sz w:val="22"/>
                <w:szCs w:val="22"/>
                <w:u w:val="single"/>
              </w:rPr>
              <w:t>s</w:t>
            </w:r>
            <w:r w:rsidR="00B72954">
              <w:rPr>
                <w:b/>
                <w:i/>
                <w:sz w:val="22"/>
                <w:szCs w:val="22"/>
                <w:u w:val="single"/>
              </w:rPr>
              <w:t xml:space="preserve"> </w:t>
            </w:r>
            <w:r w:rsidR="00B72954" w:rsidRPr="009865D1">
              <w:rPr>
                <w:b/>
                <w:i/>
                <w:sz w:val="22"/>
                <w:szCs w:val="22"/>
                <w:u w:val="single"/>
              </w:rPr>
              <w:t>intersexuales</w:t>
            </w:r>
            <w:r w:rsidR="00087E0F" w:rsidRPr="009865D1">
              <w:rPr>
                <w:b/>
                <w:i/>
                <w:sz w:val="22"/>
                <w:szCs w:val="22"/>
                <w:u w:val="single"/>
              </w:rPr>
              <w:t>,</w:t>
            </w:r>
            <w:r w:rsidRPr="009865D1">
              <w:rPr>
                <w:b/>
                <w:i/>
                <w:sz w:val="22"/>
                <w:szCs w:val="22"/>
                <w:u w:val="single"/>
              </w:rPr>
              <w:t xml:space="preserve"> los protocolos médicos de definición sexual terapéutica deberían posponerse hasta que </w:t>
            </w:r>
            <w:r w:rsidR="00903E55" w:rsidRPr="009865D1">
              <w:rPr>
                <w:b/>
                <w:i/>
                <w:sz w:val="22"/>
                <w:szCs w:val="22"/>
                <w:u w:val="single"/>
              </w:rPr>
              <w:t xml:space="preserve">la persona intersexual </w:t>
            </w:r>
            <w:r w:rsidR="00B72954">
              <w:rPr>
                <w:b/>
                <w:i/>
                <w:sz w:val="22"/>
                <w:szCs w:val="22"/>
                <w:u w:val="single"/>
              </w:rPr>
              <w:t>pueda otorgar un consentimiento válido</w:t>
            </w:r>
            <w:r w:rsidRPr="009865D1">
              <w:rPr>
                <w:b/>
                <w:i/>
                <w:sz w:val="22"/>
                <w:szCs w:val="22"/>
                <w:u w:val="single"/>
              </w:rPr>
              <w:t xml:space="preserve"> y siempre buscando el mejor interés del menor y no el bienestar psíquico de los familiares y su entorno social</w:t>
            </w:r>
            <w:r w:rsidRPr="008C6B8A">
              <w:rPr>
                <w:i/>
                <w:sz w:val="22"/>
                <w:szCs w:val="22"/>
              </w:rPr>
              <w:t>.</w:t>
            </w:r>
          </w:p>
          <w:p w14:paraId="541A09E8" w14:textId="77777777" w:rsidR="00751E3A" w:rsidRDefault="00B72954" w:rsidP="00394E74">
            <w:pPr>
              <w:pStyle w:val="Prrafodelista"/>
              <w:numPr>
                <w:ilvl w:val="0"/>
                <w:numId w:val="14"/>
              </w:numPr>
              <w:spacing w:afterLines="200" w:after="480" w:line="360" w:lineRule="auto"/>
              <w:jc w:val="both"/>
              <w:rPr>
                <w:i/>
                <w:sz w:val="22"/>
                <w:szCs w:val="22"/>
              </w:rPr>
            </w:pPr>
            <w:r>
              <w:rPr>
                <w:i/>
                <w:sz w:val="22"/>
                <w:szCs w:val="22"/>
              </w:rPr>
              <w:t>L</w:t>
            </w:r>
            <w:r w:rsidR="00B36C5B" w:rsidRPr="009865D1">
              <w:rPr>
                <w:i/>
                <w:sz w:val="22"/>
                <w:szCs w:val="22"/>
              </w:rPr>
              <w:t xml:space="preserve">a redacción </w:t>
            </w:r>
            <w:r w:rsidR="003A582C" w:rsidRPr="009865D1">
              <w:rPr>
                <w:i/>
                <w:sz w:val="22"/>
                <w:szCs w:val="22"/>
              </w:rPr>
              <w:t xml:space="preserve">de la </w:t>
            </w:r>
            <w:r w:rsidR="003A582C" w:rsidRPr="009865D1">
              <w:rPr>
                <w:b/>
                <w:i/>
                <w:sz w:val="22"/>
                <w:szCs w:val="22"/>
              </w:rPr>
              <w:t>disposición adicional</w:t>
            </w:r>
            <w:r w:rsidR="00751E3A" w:rsidRPr="009865D1">
              <w:rPr>
                <w:b/>
                <w:i/>
                <w:sz w:val="22"/>
                <w:szCs w:val="22"/>
              </w:rPr>
              <w:t xml:space="preserve"> tercera</w:t>
            </w:r>
            <w:r w:rsidR="003A582C" w:rsidRPr="009865D1">
              <w:rPr>
                <w:i/>
                <w:sz w:val="22"/>
                <w:szCs w:val="22"/>
              </w:rPr>
              <w:t>, relativo a la Modificación de la “Ley 2/2014, de 8 de julio, integral para la no discriminación por motivos de identidad de género y reconocimiento de los derechos de las personas transexuales de Andalucía”</w:t>
            </w:r>
            <w:r w:rsidR="00C1450C" w:rsidRPr="009865D1">
              <w:rPr>
                <w:i/>
                <w:sz w:val="22"/>
                <w:szCs w:val="22"/>
              </w:rPr>
              <w:t xml:space="preserve">, </w:t>
            </w:r>
            <w:r>
              <w:rPr>
                <w:i/>
                <w:sz w:val="22"/>
                <w:szCs w:val="22"/>
              </w:rPr>
              <w:t>podría cambiarse de la siguiente forma:</w:t>
            </w:r>
            <w:r w:rsidR="00C1450C" w:rsidRPr="009865D1">
              <w:rPr>
                <w:b/>
                <w:i/>
                <w:sz w:val="22"/>
                <w:szCs w:val="22"/>
              </w:rPr>
              <w:t xml:space="preserve"> </w:t>
            </w:r>
            <w:r w:rsidR="00E27386" w:rsidRPr="009865D1">
              <w:rPr>
                <w:i/>
                <w:sz w:val="22"/>
                <w:szCs w:val="22"/>
              </w:rPr>
              <w:t xml:space="preserve"> </w:t>
            </w:r>
          </w:p>
          <w:p w14:paraId="05FAFB53" w14:textId="77777777" w:rsidR="00E27386" w:rsidRPr="000E3BD8" w:rsidRDefault="00751E3A" w:rsidP="00394E74">
            <w:pPr>
              <w:pStyle w:val="Prrafodelista"/>
              <w:numPr>
                <w:ilvl w:val="1"/>
                <w:numId w:val="14"/>
              </w:numPr>
              <w:spacing w:afterLines="200" w:after="480" w:line="360" w:lineRule="auto"/>
              <w:jc w:val="both"/>
              <w:rPr>
                <w:b/>
                <w:i/>
                <w:sz w:val="22"/>
                <w:szCs w:val="22"/>
              </w:rPr>
            </w:pPr>
            <w:r w:rsidRPr="009865D1">
              <w:rPr>
                <w:b/>
                <w:i/>
                <w:sz w:val="22"/>
                <w:szCs w:val="22"/>
              </w:rPr>
              <w:t xml:space="preserve">«Se establecerá un protocolo específico de actuación en materia de intersexualidad que incluirá todos los tratamientos de asignación de sexo requeridos en atención al género sentido. En caso de que una persona nazca con una anatomía reproductiva o sexual que no </w:t>
            </w:r>
            <w:r w:rsidR="00143442">
              <w:rPr>
                <w:b/>
                <w:i/>
                <w:sz w:val="22"/>
                <w:szCs w:val="22"/>
              </w:rPr>
              <w:t>encaje con</w:t>
            </w:r>
            <w:r w:rsidRPr="009865D1">
              <w:rPr>
                <w:b/>
                <w:i/>
                <w:sz w:val="22"/>
                <w:szCs w:val="22"/>
              </w:rPr>
              <w:t xml:space="preserve"> las definiciones típicas</w:t>
            </w:r>
            <w:r>
              <w:rPr>
                <w:b/>
                <w:i/>
                <w:sz w:val="22"/>
                <w:szCs w:val="22"/>
              </w:rPr>
              <w:t xml:space="preserve"> </w:t>
            </w:r>
            <w:r w:rsidRPr="009865D1">
              <w:rPr>
                <w:b/>
                <w:i/>
                <w:sz w:val="22"/>
                <w:szCs w:val="22"/>
              </w:rPr>
              <w:t xml:space="preserve">de masculino </w:t>
            </w:r>
            <w:r w:rsidR="00143442">
              <w:rPr>
                <w:b/>
                <w:i/>
                <w:sz w:val="22"/>
                <w:szCs w:val="22"/>
              </w:rPr>
              <w:t>o</w:t>
            </w:r>
            <w:r w:rsidR="00143442" w:rsidRPr="009865D1">
              <w:rPr>
                <w:b/>
                <w:i/>
                <w:sz w:val="22"/>
                <w:szCs w:val="22"/>
              </w:rPr>
              <w:t xml:space="preserve"> </w:t>
            </w:r>
            <w:r w:rsidRPr="009865D1">
              <w:rPr>
                <w:b/>
                <w:i/>
                <w:sz w:val="22"/>
                <w:szCs w:val="22"/>
              </w:rPr>
              <w:t xml:space="preserve">femenino, no será objeto de cirugía genital </w:t>
            </w:r>
            <w:r w:rsidR="00143442">
              <w:rPr>
                <w:b/>
                <w:i/>
                <w:sz w:val="22"/>
                <w:szCs w:val="22"/>
              </w:rPr>
              <w:t>si no obedecen</w:t>
            </w:r>
            <w:r w:rsidRPr="009865D1">
              <w:rPr>
                <w:b/>
                <w:i/>
                <w:sz w:val="22"/>
                <w:szCs w:val="22"/>
              </w:rPr>
              <w:t xml:space="preserve"> a la decisión de la propia persona afectada </w:t>
            </w:r>
            <w:r w:rsidRPr="009865D1">
              <w:rPr>
                <w:b/>
                <w:i/>
                <w:sz w:val="22"/>
                <w:szCs w:val="22"/>
                <w:u w:val="single"/>
              </w:rPr>
              <w:t xml:space="preserve">(siempre que se compruebe adecuadamente </w:t>
            </w:r>
            <w:r w:rsidR="00143442">
              <w:rPr>
                <w:b/>
                <w:i/>
                <w:sz w:val="22"/>
                <w:szCs w:val="22"/>
                <w:u w:val="single"/>
              </w:rPr>
              <w:t>su</w:t>
            </w:r>
            <w:r w:rsidR="00143442" w:rsidRPr="009865D1">
              <w:rPr>
                <w:b/>
                <w:i/>
                <w:sz w:val="22"/>
                <w:szCs w:val="22"/>
                <w:u w:val="single"/>
              </w:rPr>
              <w:t xml:space="preserve"> </w:t>
            </w:r>
            <w:r w:rsidRPr="009865D1">
              <w:rPr>
                <w:b/>
                <w:i/>
                <w:sz w:val="22"/>
                <w:szCs w:val="22"/>
                <w:u w:val="single"/>
              </w:rPr>
              <w:t>madurez)</w:t>
            </w:r>
            <w:r>
              <w:rPr>
                <w:b/>
                <w:i/>
                <w:sz w:val="22"/>
                <w:szCs w:val="22"/>
              </w:rPr>
              <w:t xml:space="preserve"> </w:t>
            </w:r>
            <w:r w:rsidRPr="009865D1">
              <w:rPr>
                <w:b/>
                <w:i/>
                <w:sz w:val="22"/>
                <w:szCs w:val="22"/>
              </w:rPr>
              <w:t>o a la necesidad de asegurar una funcionalidad biológica por motivos de salud</w:t>
            </w:r>
            <w:r w:rsidR="00B72954">
              <w:rPr>
                <w:b/>
                <w:i/>
                <w:sz w:val="22"/>
                <w:szCs w:val="22"/>
              </w:rPr>
              <w:t>.</w:t>
            </w:r>
            <w:r w:rsidRPr="009865D1">
              <w:rPr>
                <w:b/>
                <w:i/>
                <w:sz w:val="22"/>
                <w:szCs w:val="22"/>
              </w:rPr>
              <w:t xml:space="preserve"> </w:t>
            </w:r>
          </w:p>
        </w:tc>
      </w:tr>
    </w:tbl>
    <w:p w14:paraId="73775DE5" w14:textId="77777777" w:rsidR="008C6B8A" w:rsidRDefault="008C6B8A" w:rsidP="00394E74">
      <w:pPr>
        <w:spacing w:afterLines="200" w:after="480" w:line="360" w:lineRule="auto"/>
        <w:jc w:val="both"/>
        <w:rPr>
          <w:sz w:val="22"/>
          <w:szCs w:val="22"/>
        </w:rPr>
      </w:pPr>
    </w:p>
    <w:p w14:paraId="455A14B3" w14:textId="77777777" w:rsidR="009E77FF" w:rsidRPr="000E3BD8" w:rsidRDefault="000E3BD8" w:rsidP="00394E74">
      <w:pPr>
        <w:pStyle w:val="Propio1"/>
        <w:spacing w:afterLines="200" w:after="480"/>
      </w:pPr>
      <w:proofErr w:type="gramStart"/>
      <w:r w:rsidRPr="000E3BD8">
        <w:t>EN RELACIÓN AL</w:t>
      </w:r>
      <w:proofErr w:type="gramEnd"/>
      <w:r w:rsidRPr="000E3BD8">
        <w:t xml:space="preserve"> TRATAMIENTO DE PERSONAS TRANSEXUALES MENORES DE EDAD</w:t>
      </w:r>
    </w:p>
    <w:p w14:paraId="2BD8F045" w14:textId="77777777" w:rsidR="00A844E4" w:rsidRPr="008C6B8A" w:rsidRDefault="008C6B8A" w:rsidP="00394E74">
      <w:pPr>
        <w:spacing w:afterLines="200" w:after="480" w:line="360" w:lineRule="auto"/>
        <w:jc w:val="both"/>
        <w:rPr>
          <w:rFonts w:asciiTheme="minorHAnsi" w:hAnsiTheme="minorHAnsi"/>
          <w:sz w:val="22"/>
          <w:szCs w:val="22"/>
          <w:lang w:val="es-ES_tradnl"/>
        </w:rPr>
      </w:pPr>
      <w:r>
        <w:rPr>
          <w:rFonts w:asciiTheme="minorHAnsi" w:hAnsiTheme="minorHAnsi"/>
          <w:sz w:val="22"/>
          <w:szCs w:val="22"/>
          <w:lang w:val="es-ES_tradnl"/>
        </w:rPr>
        <w:t xml:space="preserve">La transexualidad se define </w:t>
      </w:r>
      <w:r w:rsidR="00A844E4" w:rsidRPr="008C6B8A">
        <w:rPr>
          <w:rFonts w:asciiTheme="minorHAnsi" w:hAnsiTheme="minorHAnsi"/>
          <w:sz w:val="22"/>
          <w:szCs w:val="22"/>
          <w:lang w:val="es-ES_tradnl"/>
        </w:rPr>
        <w:t>como una manifestación persistente de discordancia personal entre el sexo asignado al nacimiento (genético, gonadal, genital y morfológico) y sexo/género sentido.</w:t>
      </w:r>
    </w:p>
    <w:p w14:paraId="3C86475B" w14:textId="77777777" w:rsidR="00A844E4" w:rsidRPr="008C6B8A" w:rsidRDefault="00A844E4" w:rsidP="00394E74">
      <w:pPr>
        <w:spacing w:afterLines="200" w:after="480" w:line="360" w:lineRule="auto"/>
        <w:jc w:val="both"/>
        <w:rPr>
          <w:rFonts w:asciiTheme="minorHAnsi" w:hAnsiTheme="minorHAnsi"/>
          <w:sz w:val="22"/>
          <w:szCs w:val="22"/>
          <w:lang w:val="es-ES_tradnl"/>
        </w:rPr>
      </w:pPr>
      <w:r w:rsidRPr="008C6B8A">
        <w:rPr>
          <w:rFonts w:asciiTheme="minorHAnsi" w:hAnsiTheme="minorHAnsi"/>
          <w:sz w:val="22"/>
          <w:szCs w:val="22"/>
          <w:lang w:val="es-ES_tradnl"/>
        </w:rPr>
        <w:t xml:space="preserve">El protocolo de tratamiento de personas transexuales </w:t>
      </w:r>
      <w:r w:rsidR="007320FB" w:rsidRPr="008C6B8A">
        <w:rPr>
          <w:rFonts w:asciiTheme="minorHAnsi" w:hAnsiTheme="minorHAnsi"/>
          <w:sz w:val="22"/>
          <w:szCs w:val="22"/>
          <w:lang w:val="es-ES_tradnl"/>
        </w:rPr>
        <w:t xml:space="preserve">más aceptado </w:t>
      </w:r>
      <w:r w:rsidR="007320FB">
        <w:rPr>
          <w:rFonts w:asciiTheme="minorHAnsi" w:hAnsiTheme="minorHAnsi"/>
          <w:sz w:val="22"/>
          <w:szCs w:val="22"/>
          <w:lang w:val="es-ES_tradnl"/>
        </w:rPr>
        <w:t>se</w:t>
      </w:r>
      <w:r w:rsidRPr="008C6B8A">
        <w:rPr>
          <w:rFonts w:asciiTheme="minorHAnsi" w:hAnsiTheme="minorHAnsi"/>
          <w:sz w:val="22"/>
          <w:szCs w:val="22"/>
          <w:lang w:val="es-ES_tradnl"/>
        </w:rPr>
        <w:t xml:space="preserve"> basa en los estándares asistenciales propuestos por la Asociación Mundial de Profesionales para la Salud Transgénero (WPATH), que se revisan periódicamente y sirven de guía asistencial. El protocolo del proceso para el cambio de sexo contempla tres fases: psicológica, hormonal y quirúrgica. Los datos de las investigaciones apuntan que la presencia de disforia de gén</w:t>
      </w:r>
      <w:r w:rsidR="008C6B8A">
        <w:rPr>
          <w:rFonts w:asciiTheme="minorHAnsi" w:hAnsiTheme="minorHAnsi"/>
          <w:sz w:val="22"/>
          <w:szCs w:val="22"/>
          <w:lang w:val="es-ES_tradnl"/>
        </w:rPr>
        <w:t xml:space="preserve">ero no implica </w:t>
      </w:r>
      <w:r w:rsidR="00E92442">
        <w:rPr>
          <w:rFonts w:asciiTheme="minorHAnsi" w:hAnsiTheme="minorHAnsi"/>
          <w:sz w:val="22"/>
          <w:szCs w:val="22"/>
          <w:lang w:val="es-ES_tradnl"/>
        </w:rPr>
        <w:t xml:space="preserve">necesariamente la </w:t>
      </w:r>
      <w:r w:rsidR="00E92442" w:rsidRPr="008C6B8A">
        <w:rPr>
          <w:rFonts w:asciiTheme="minorHAnsi" w:hAnsiTheme="minorHAnsi"/>
          <w:sz w:val="22"/>
          <w:szCs w:val="22"/>
          <w:lang w:val="es-ES_tradnl"/>
        </w:rPr>
        <w:t>existencia</w:t>
      </w:r>
      <w:r w:rsidRPr="008C6B8A">
        <w:rPr>
          <w:rFonts w:asciiTheme="minorHAnsi" w:hAnsiTheme="minorHAnsi"/>
          <w:sz w:val="22"/>
          <w:szCs w:val="22"/>
          <w:lang w:val="es-ES_tradnl"/>
        </w:rPr>
        <w:t xml:space="preserve"> de otros trastornos mentales, sin embargo</w:t>
      </w:r>
      <w:r w:rsidR="008C6B8A">
        <w:rPr>
          <w:rFonts w:asciiTheme="minorHAnsi" w:hAnsiTheme="minorHAnsi"/>
          <w:sz w:val="22"/>
          <w:szCs w:val="22"/>
          <w:lang w:val="es-ES_tradnl"/>
        </w:rPr>
        <w:t>,</w:t>
      </w:r>
      <w:r w:rsidRPr="008C6B8A">
        <w:rPr>
          <w:rFonts w:asciiTheme="minorHAnsi" w:hAnsiTheme="minorHAnsi"/>
          <w:sz w:val="22"/>
          <w:szCs w:val="22"/>
          <w:lang w:val="es-ES_tradnl"/>
        </w:rPr>
        <w:t xml:space="preserve"> muchos adolescentes transexuales experimentan problemas psicosociales y de salud mental, </w:t>
      </w:r>
      <w:r w:rsidR="007320FB">
        <w:rPr>
          <w:rFonts w:asciiTheme="minorHAnsi" w:hAnsiTheme="minorHAnsi"/>
          <w:sz w:val="22"/>
          <w:szCs w:val="22"/>
          <w:lang w:val="es-ES_tradnl"/>
        </w:rPr>
        <w:t>probablemente</w:t>
      </w:r>
      <w:r w:rsidRPr="008C6B8A">
        <w:rPr>
          <w:rFonts w:asciiTheme="minorHAnsi" w:hAnsiTheme="minorHAnsi"/>
          <w:sz w:val="22"/>
          <w:szCs w:val="22"/>
          <w:lang w:val="es-ES_tradnl"/>
        </w:rPr>
        <w:t xml:space="preserve"> debidos a los desafíos con los que se tienen que enfrentar para ser aceptados socialmente</w:t>
      </w:r>
      <w:r w:rsidR="003D3CF2">
        <w:rPr>
          <w:rFonts w:asciiTheme="minorHAnsi" w:hAnsiTheme="minorHAnsi"/>
          <w:sz w:val="22"/>
          <w:szCs w:val="22"/>
          <w:lang w:val="es-ES_tradnl"/>
        </w:rPr>
        <w:t>.</w:t>
      </w:r>
      <w:r w:rsidRPr="008C6B8A">
        <w:rPr>
          <w:rFonts w:asciiTheme="minorHAnsi" w:hAnsiTheme="minorHAnsi"/>
          <w:sz w:val="22"/>
          <w:szCs w:val="22"/>
          <w:lang w:val="es-ES_tradnl"/>
        </w:rPr>
        <w:t xml:space="preserve">  </w:t>
      </w:r>
    </w:p>
    <w:p w14:paraId="066C420F" w14:textId="77777777" w:rsidR="007747CE" w:rsidRPr="008C6B8A" w:rsidRDefault="00EA562E" w:rsidP="00394E74">
      <w:pPr>
        <w:spacing w:afterLines="200" w:after="480" w:line="360" w:lineRule="auto"/>
        <w:jc w:val="both"/>
        <w:rPr>
          <w:rFonts w:asciiTheme="minorHAnsi" w:hAnsiTheme="minorHAnsi"/>
          <w:sz w:val="22"/>
          <w:szCs w:val="22"/>
          <w:lang w:val="es-ES_tradnl"/>
        </w:rPr>
      </w:pPr>
      <w:r w:rsidRPr="008C6B8A">
        <w:rPr>
          <w:rFonts w:asciiTheme="minorHAnsi" w:hAnsiTheme="minorHAnsi"/>
          <w:sz w:val="22"/>
          <w:szCs w:val="22"/>
          <w:lang w:val="es-ES_tradnl"/>
        </w:rPr>
        <w:t xml:space="preserve">Durante muchos años los </w:t>
      </w:r>
      <w:r w:rsidR="003D3CF2">
        <w:rPr>
          <w:rFonts w:asciiTheme="minorHAnsi" w:hAnsiTheme="minorHAnsi"/>
          <w:sz w:val="22"/>
          <w:szCs w:val="22"/>
          <w:lang w:val="es-ES_tradnl"/>
        </w:rPr>
        <w:t xml:space="preserve">criterios asistenciales basados en </w:t>
      </w:r>
      <w:r w:rsidRPr="008C6B8A">
        <w:rPr>
          <w:rFonts w:asciiTheme="minorHAnsi" w:hAnsiTheme="minorHAnsi"/>
          <w:sz w:val="22"/>
          <w:szCs w:val="22"/>
          <w:lang w:val="es-ES_tradnl"/>
        </w:rPr>
        <w:t xml:space="preserve">protocolos </w:t>
      </w:r>
      <w:r w:rsidR="007747CE" w:rsidRPr="008C6B8A">
        <w:rPr>
          <w:rFonts w:asciiTheme="minorHAnsi" w:hAnsiTheme="minorHAnsi"/>
          <w:sz w:val="22"/>
          <w:szCs w:val="22"/>
          <w:lang w:val="es-ES_tradnl"/>
        </w:rPr>
        <w:t>internacionales indicaban</w:t>
      </w:r>
      <w:r w:rsidRPr="008C6B8A">
        <w:rPr>
          <w:rFonts w:asciiTheme="minorHAnsi" w:hAnsiTheme="minorHAnsi"/>
          <w:sz w:val="22"/>
          <w:szCs w:val="22"/>
          <w:lang w:val="es-ES_tradnl"/>
        </w:rPr>
        <w:t xml:space="preserve"> </w:t>
      </w:r>
      <w:r w:rsidR="003D3CF2">
        <w:rPr>
          <w:rFonts w:asciiTheme="minorHAnsi" w:hAnsiTheme="minorHAnsi"/>
          <w:sz w:val="22"/>
          <w:szCs w:val="22"/>
          <w:lang w:val="es-ES_tradnl"/>
        </w:rPr>
        <w:t>que no se debían</w:t>
      </w:r>
      <w:r w:rsidRPr="008C6B8A">
        <w:rPr>
          <w:rFonts w:asciiTheme="minorHAnsi" w:hAnsiTheme="minorHAnsi"/>
          <w:sz w:val="22"/>
          <w:szCs w:val="22"/>
          <w:lang w:val="es-ES_tradnl"/>
        </w:rPr>
        <w:t xml:space="preserve"> iniciar tratamientos irreversibles</w:t>
      </w:r>
      <w:r w:rsidR="008C6B8A">
        <w:rPr>
          <w:rFonts w:asciiTheme="minorHAnsi" w:hAnsiTheme="minorHAnsi"/>
          <w:sz w:val="22"/>
          <w:szCs w:val="22"/>
          <w:lang w:val="es-ES_tradnl"/>
        </w:rPr>
        <w:t>,</w:t>
      </w:r>
      <w:r w:rsidRPr="008C6B8A">
        <w:rPr>
          <w:rFonts w:asciiTheme="minorHAnsi" w:hAnsiTheme="minorHAnsi"/>
          <w:sz w:val="22"/>
          <w:szCs w:val="22"/>
          <w:lang w:val="es-ES_tradnl"/>
        </w:rPr>
        <w:t xml:space="preserve"> </w:t>
      </w:r>
      <w:r w:rsidR="003D3CF2">
        <w:rPr>
          <w:rFonts w:asciiTheme="minorHAnsi" w:hAnsiTheme="minorHAnsi"/>
          <w:sz w:val="22"/>
          <w:szCs w:val="22"/>
          <w:lang w:val="es-ES_tradnl"/>
        </w:rPr>
        <w:t>ya sea</w:t>
      </w:r>
      <w:r w:rsidR="003D3CF2" w:rsidRPr="008C6B8A">
        <w:rPr>
          <w:rFonts w:asciiTheme="minorHAnsi" w:hAnsiTheme="minorHAnsi"/>
          <w:sz w:val="22"/>
          <w:szCs w:val="22"/>
          <w:lang w:val="es-ES_tradnl"/>
        </w:rPr>
        <w:t xml:space="preserve"> </w:t>
      </w:r>
      <w:r w:rsidRPr="008C6B8A">
        <w:rPr>
          <w:rFonts w:asciiTheme="minorHAnsi" w:hAnsiTheme="minorHAnsi"/>
          <w:sz w:val="22"/>
          <w:szCs w:val="22"/>
          <w:lang w:val="es-ES_tradnl"/>
        </w:rPr>
        <w:t xml:space="preserve">hormonales </w:t>
      </w:r>
      <w:r w:rsidR="003D3CF2">
        <w:rPr>
          <w:rFonts w:asciiTheme="minorHAnsi" w:hAnsiTheme="minorHAnsi"/>
          <w:sz w:val="22"/>
          <w:szCs w:val="22"/>
          <w:lang w:val="es-ES_tradnl"/>
        </w:rPr>
        <w:t xml:space="preserve">o </w:t>
      </w:r>
      <w:r w:rsidRPr="008C6B8A">
        <w:rPr>
          <w:rFonts w:asciiTheme="minorHAnsi" w:hAnsiTheme="minorHAnsi"/>
          <w:sz w:val="22"/>
          <w:szCs w:val="22"/>
          <w:lang w:val="es-ES_tradnl"/>
        </w:rPr>
        <w:t>quirúrgicos</w:t>
      </w:r>
      <w:r w:rsidR="003D3CF2">
        <w:rPr>
          <w:rFonts w:asciiTheme="minorHAnsi" w:hAnsiTheme="minorHAnsi"/>
          <w:sz w:val="22"/>
          <w:szCs w:val="22"/>
          <w:lang w:val="es-ES_tradnl"/>
        </w:rPr>
        <w:t>,</w:t>
      </w:r>
      <w:r w:rsidRPr="008C6B8A">
        <w:rPr>
          <w:rFonts w:asciiTheme="minorHAnsi" w:hAnsiTheme="minorHAnsi"/>
          <w:sz w:val="22"/>
          <w:szCs w:val="22"/>
          <w:lang w:val="es-ES_tradnl"/>
        </w:rPr>
        <w:t xml:space="preserve"> en personas transexuales</w:t>
      </w:r>
      <w:r w:rsidR="004613D6" w:rsidRPr="008C6B8A">
        <w:rPr>
          <w:rFonts w:asciiTheme="minorHAnsi" w:hAnsiTheme="minorHAnsi"/>
          <w:sz w:val="22"/>
          <w:szCs w:val="22"/>
          <w:lang w:val="es-ES_tradnl"/>
        </w:rPr>
        <w:t xml:space="preserve"> </w:t>
      </w:r>
      <w:r w:rsidRPr="008C6B8A">
        <w:rPr>
          <w:rFonts w:asciiTheme="minorHAnsi" w:hAnsiTheme="minorHAnsi"/>
          <w:sz w:val="22"/>
          <w:szCs w:val="22"/>
          <w:lang w:val="es-ES_tradnl"/>
        </w:rPr>
        <w:t>hasta que no hubiera</w:t>
      </w:r>
      <w:r w:rsidR="003D3CF2">
        <w:rPr>
          <w:rFonts w:asciiTheme="minorHAnsi" w:hAnsiTheme="minorHAnsi"/>
          <w:sz w:val="22"/>
          <w:szCs w:val="22"/>
          <w:lang w:val="es-ES_tradnl"/>
        </w:rPr>
        <w:t>n</w:t>
      </w:r>
      <w:r w:rsidRPr="008C6B8A">
        <w:rPr>
          <w:rFonts w:asciiTheme="minorHAnsi" w:hAnsiTheme="minorHAnsi"/>
          <w:sz w:val="22"/>
          <w:szCs w:val="22"/>
          <w:lang w:val="es-ES_tradnl"/>
        </w:rPr>
        <w:t xml:space="preserve"> alcanzado la mayoría</w:t>
      </w:r>
      <w:r w:rsidR="004613D6" w:rsidRPr="008C6B8A">
        <w:rPr>
          <w:rFonts w:asciiTheme="minorHAnsi" w:hAnsiTheme="minorHAnsi"/>
          <w:sz w:val="22"/>
          <w:szCs w:val="22"/>
          <w:lang w:val="es-ES_tradnl"/>
        </w:rPr>
        <w:t xml:space="preserve"> </w:t>
      </w:r>
      <w:r w:rsidRPr="008C6B8A">
        <w:rPr>
          <w:rFonts w:asciiTheme="minorHAnsi" w:hAnsiTheme="minorHAnsi"/>
          <w:sz w:val="22"/>
          <w:szCs w:val="22"/>
          <w:lang w:val="es-ES_tradnl"/>
        </w:rPr>
        <w:t xml:space="preserve">de edad, a pesar de que un </w:t>
      </w:r>
      <w:r w:rsidR="003D3CF2">
        <w:rPr>
          <w:rFonts w:asciiTheme="minorHAnsi" w:hAnsiTheme="minorHAnsi"/>
          <w:sz w:val="22"/>
          <w:szCs w:val="22"/>
          <w:lang w:val="es-ES_tradnl"/>
        </w:rPr>
        <w:t xml:space="preserve">amplio </w:t>
      </w:r>
      <w:r w:rsidRPr="008C6B8A">
        <w:rPr>
          <w:rFonts w:asciiTheme="minorHAnsi" w:hAnsiTheme="minorHAnsi"/>
          <w:sz w:val="22"/>
          <w:szCs w:val="22"/>
          <w:lang w:val="es-ES_tradnl"/>
        </w:rPr>
        <w:t xml:space="preserve">número de </w:t>
      </w:r>
      <w:r w:rsidR="007320FB">
        <w:rPr>
          <w:rFonts w:asciiTheme="minorHAnsi" w:hAnsiTheme="minorHAnsi"/>
          <w:sz w:val="22"/>
          <w:szCs w:val="22"/>
          <w:lang w:val="es-ES_tradnl"/>
        </w:rPr>
        <w:t>ellos</w:t>
      </w:r>
      <w:r w:rsidR="007320FB" w:rsidRPr="008C6B8A">
        <w:rPr>
          <w:rFonts w:asciiTheme="minorHAnsi" w:hAnsiTheme="minorHAnsi"/>
          <w:sz w:val="22"/>
          <w:szCs w:val="22"/>
          <w:lang w:val="es-ES_tradnl"/>
        </w:rPr>
        <w:t xml:space="preserve"> </w:t>
      </w:r>
      <w:r w:rsidR="003D3CF2">
        <w:rPr>
          <w:rFonts w:asciiTheme="minorHAnsi" w:hAnsiTheme="minorHAnsi"/>
          <w:sz w:val="22"/>
          <w:szCs w:val="22"/>
          <w:lang w:val="es-ES_tradnl"/>
        </w:rPr>
        <w:t>manifestaban</w:t>
      </w:r>
      <w:r w:rsidRPr="008C6B8A">
        <w:rPr>
          <w:rFonts w:asciiTheme="minorHAnsi" w:hAnsiTheme="minorHAnsi"/>
          <w:sz w:val="22"/>
          <w:szCs w:val="22"/>
          <w:lang w:val="es-ES_tradnl"/>
        </w:rPr>
        <w:t xml:space="preserve"> una identidad persistente</w:t>
      </w:r>
      <w:r w:rsidR="004613D6" w:rsidRPr="008C6B8A">
        <w:rPr>
          <w:rFonts w:asciiTheme="minorHAnsi" w:hAnsiTheme="minorHAnsi"/>
          <w:sz w:val="22"/>
          <w:szCs w:val="22"/>
          <w:lang w:val="es-ES_tradnl"/>
        </w:rPr>
        <w:t xml:space="preserve"> </w:t>
      </w:r>
      <w:r w:rsidRPr="008C6B8A">
        <w:rPr>
          <w:rFonts w:asciiTheme="minorHAnsi" w:hAnsiTheme="minorHAnsi"/>
          <w:sz w:val="22"/>
          <w:szCs w:val="22"/>
          <w:lang w:val="es-ES_tradnl"/>
        </w:rPr>
        <w:t>desde la infancia y un sufrimiento psicológico</w:t>
      </w:r>
      <w:r w:rsidR="004613D6" w:rsidRPr="008C6B8A">
        <w:rPr>
          <w:rFonts w:asciiTheme="minorHAnsi" w:hAnsiTheme="minorHAnsi"/>
          <w:sz w:val="22"/>
          <w:szCs w:val="22"/>
          <w:lang w:val="es-ES_tradnl"/>
        </w:rPr>
        <w:t xml:space="preserve"> </w:t>
      </w:r>
      <w:r w:rsidRPr="008C6B8A">
        <w:rPr>
          <w:rFonts w:asciiTheme="minorHAnsi" w:hAnsiTheme="minorHAnsi"/>
          <w:sz w:val="22"/>
          <w:szCs w:val="22"/>
          <w:lang w:val="es-ES_tradnl"/>
        </w:rPr>
        <w:t>evidente</w:t>
      </w:r>
      <w:r w:rsidR="008C6B8A">
        <w:rPr>
          <w:rFonts w:asciiTheme="minorHAnsi" w:hAnsiTheme="minorHAnsi"/>
          <w:sz w:val="22"/>
          <w:szCs w:val="22"/>
          <w:lang w:val="es-ES_tradnl"/>
        </w:rPr>
        <w:t>,</w:t>
      </w:r>
      <w:r w:rsidRPr="008C6B8A">
        <w:rPr>
          <w:rFonts w:asciiTheme="minorHAnsi" w:hAnsiTheme="minorHAnsi"/>
          <w:sz w:val="22"/>
          <w:szCs w:val="22"/>
          <w:lang w:val="es-ES_tradnl"/>
        </w:rPr>
        <w:t xml:space="preserve"> que se incrementaba con la aparición de</w:t>
      </w:r>
      <w:r w:rsidR="004613D6" w:rsidRPr="008C6B8A">
        <w:rPr>
          <w:rFonts w:asciiTheme="minorHAnsi" w:hAnsiTheme="minorHAnsi"/>
          <w:sz w:val="22"/>
          <w:szCs w:val="22"/>
          <w:lang w:val="es-ES_tradnl"/>
        </w:rPr>
        <w:t xml:space="preserve"> </w:t>
      </w:r>
      <w:r w:rsidRPr="008C6B8A">
        <w:rPr>
          <w:rFonts w:asciiTheme="minorHAnsi" w:hAnsiTheme="minorHAnsi"/>
          <w:sz w:val="22"/>
          <w:szCs w:val="22"/>
          <w:lang w:val="es-ES_tradnl"/>
        </w:rPr>
        <w:t>los signos puberales.</w:t>
      </w:r>
      <w:r w:rsidR="004613D6" w:rsidRPr="008C6B8A">
        <w:rPr>
          <w:rFonts w:asciiTheme="minorHAnsi" w:hAnsiTheme="minorHAnsi"/>
          <w:sz w:val="22"/>
          <w:szCs w:val="22"/>
          <w:lang w:val="es-ES_tradnl"/>
        </w:rPr>
        <w:t xml:space="preserve"> </w:t>
      </w:r>
    </w:p>
    <w:p w14:paraId="022EDE51" w14:textId="77777777" w:rsidR="004613D6" w:rsidRPr="008C6B8A" w:rsidRDefault="00EA562E" w:rsidP="00394E74">
      <w:pPr>
        <w:spacing w:afterLines="200" w:after="480" w:line="360" w:lineRule="auto"/>
        <w:jc w:val="both"/>
        <w:rPr>
          <w:rFonts w:asciiTheme="minorHAnsi" w:hAnsiTheme="minorHAnsi"/>
          <w:sz w:val="22"/>
          <w:szCs w:val="22"/>
          <w:lang w:val="es-ES_tradnl"/>
        </w:rPr>
      </w:pPr>
      <w:r w:rsidRPr="008C6B8A">
        <w:rPr>
          <w:rFonts w:asciiTheme="minorHAnsi" w:hAnsiTheme="minorHAnsi"/>
          <w:sz w:val="22"/>
          <w:szCs w:val="22"/>
          <w:lang w:val="es-ES_tradnl"/>
        </w:rPr>
        <w:t>Hoy día, en cambio, hay equipos de tratamiento</w:t>
      </w:r>
      <w:r w:rsidR="004613D6" w:rsidRPr="008C6B8A">
        <w:rPr>
          <w:rFonts w:asciiTheme="minorHAnsi" w:hAnsiTheme="minorHAnsi"/>
          <w:sz w:val="22"/>
          <w:szCs w:val="22"/>
          <w:lang w:val="es-ES_tradnl"/>
        </w:rPr>
        <w:t xml:space="preserve"> </w:t>
      </w:r>
      <w:r w:rsidRPr="008C6B8A">
        <w:rPr>
          <w:rFonts w:asciiTheme="minorHAnsi" w:hAnsiTheme="minorHAnsi"/>
          <w:sz w:val="22"/>
          <w:szCs w:val="22"/>
          <w:lang w:val="es-ES_tradnl"/>
        </w:rPr>
        <w:t>que defienden iniciar el proceso terapéutico</w:t>
      </w:r>
      <w:r w:rsidR="004613D6" w:rsidRPr="008C6B8A">
        <w:rPr>
          <w:rFonts w:asciiTheme="minorHAnsi" w:hAnsiTheme="minorHAnsi"/>
          <w:sz w:val="22"/>
          <w:szCs w:val="22"/>
          <w:lang w:val="es-ES_tradnl"/>
        </w:rPr>
        <w:t xml:space="preserve"> </w:t>
      </w:r>
      <w:r w:rsidRPr="008C6B8A">
        <w:rPr>
          <w:rFonts w:asciiTheme="minorHAnsi" w:hAnsiTheme="minorHAnsi"/>
          <w:sz w:val="22"/>
          <w:szCs w:val="22"/>
          <w:lang w:val="es-ES_tradnl"/>
        </w:rPr>
        <w:t xml:space="preserve">durante la etapa puberal, </w:t>
      </w:r>
      <w:r w:rsidR="004613D6" w:rsidRPr="008C6B8A">
        <w:rPr>
          <w:rFonts w:asciiTheme="minorHAnsi" w:hAnsiTheme="minorHAnsi"/>
          <w:sz w:val="22"/>
          <w:szCs w:val="22"/>
          <w:lang w:val="es-ES_tradnl"/>
        </w:rPr>
        <w:t>siempre que exista</w:t>
      </w:r>
      <w:r w:rsidRPr="008C6B8A">
        <w:rPr>
          <w:rFonts w:asciiTheme="minorHAnsi" w:hAnsiTheme="minorHAnsi"/>
          <w:sz w:val="22"/>
          <w:szCs w:val="22"/>
          <w:lang w:val="es-ES_tradnl"/>
        </w:rPr>
        <w:t xml:space="preserve"> un</w:t>
      </w:r>
      <w:r w:rsidR="004613D6" w:rsidRPr="008C6B8A">
        <w:rPr>
          <w:rFonts w:asciiTheme="minorHAnsi" w:hAnsiTheme="minorHAnsi"/>
          <w:sz w:val="22"/>
          <w:szCs w:val="22"/>
          <w:lang w:val="es-ES_tradnl"/>
        </w:rPr>
        <w:t xml:space="preserve"> </w:t>
      </w:r>
      <w:r w:rsidRPr="008C6B8A">
        <w:rPr>
          <w:rFonts w:asciiTheme="minorHAnsi" w:hAnsiTheme="minorHAnsi"/>
          <w:sz w:val="22"/>
          <w:szCs w:val="22"/>
          <w:lang w:val="es-ES_tradnl"/>
        </w:rPr>
        <w:t>diagnóstico claro de persistencia y habiendo vivido</w:t>
      </w:r>
      <w:r w:rsidR="004613D6" w:rsidRPr="008C6B8A">
        <w:rPr>
          <w:rFonts w:asciiTheme="minorHAnsi" w:hAnsiTheme="minorHAnsi"/>
          <w:sz w:val="22"/>
          <w:szCs w:val="22"/>
          <w:lang w:val="es-ES_tradnl"/>
        </w:rPr>
        <w:t xml:space="preserve"> </w:t>
      </w:r>
      <w:r w:rsidRPr="008C6B8A">
        <w:rPr>
          <w:rFonts w:asciiTheme="minorHAnsi" w:hAnsiTheme="minorHAnsi"/>
          <w:sz w:val="22"/>
          <w:szCs w:val="22"/>
          <w:lang w:val="es-ES_tradnl"/>
        </w:rPr>
        <w:t>el adolescente las primeras etapas puberales en su</w:t>
      </w:r>
      <w:r w:rsidR="004613D6" w:rsidRPr="008C6B8A">
        <w:rPr>
          <w:rFonts w:asciiTheme="minorHAnsi" w:hAnsiTheme="minorHAnsi"/>
          <w:sz w:val="22"/>
          <w:szCs w:val="22"/>
          <w:lang w:val="es-ES_tradnl"/>
        </w:rPr>
        <w:t xml:space="preserve"> </w:t>
      </w:r>
      <w:r w:rsidRPr="008C6B8A">
        <w:rPr>
          <w:rFonts w:asciiTheme="minorHAnsi" w:hAnsiTheme="minorHAnsi"/>
          <w:sz w:val="22"/>
          <w:szCs w:val="22"/>
          <w:lang w:val="es-ES_tradnl"/>
        </w:rPr>
        <w:t>sexo biológico, con el fin de disminuir el sufrimiento</w:t>
      </w:r>
      <w:r w:rsidR="004613D6" w:rsidRPr="008C6B8A">
        <w:rPr>
          <w:rFonts w:asciiTheme="minorHAnsi" w:hAnsiTheme="minorHAnsi"/>
          <w:sz w:val="22"/>
          <w:szCs w:val="22"/>
          <w:lang w:val="es-ES_tradnl"/>
        </w:rPr>
        <w:t xml:space="preserve"> </w:t>
      </w:r>
      <w:r w:rsidRPr="008C6B8A">
        <w:rPr>
          <w:rFonts w:asciiTheme="minorHAnsi" w:hAnsiTheme="minorHAnsi"/>
          <w:sz w:val="22"/>
          <w:szCs w:val="22"/>
          <w:lang w:val="es-ES_tradnl"/>
        </w:rPr>
        <w:t xml:space="preserve">psicológico, mejorar la aceptación social y el resultado estético en el aspecto del sexo </w:t>
      </w:r>
      <w:r w:rsidR="00870931" w:rsidRPr="008C6B8A">
        <w:rPr>
          <w:rFonts w:asciiTheme="minorHAnsi" w:hAnsiTheme="minorHAnsi"/>
          <w:sz w:val="22"/>
          <w:szCs w:val="22"/>
          <w:lang w:val="es-ES_tradnl"/>
        </w:rPr>
        <w:t>deseado.</w:t>
      </w:r>
    </w:p>
    <w:p w14:paraId="5B138AFD" w14:textId="77777777" w:rsidR="00EA562E" w:rsidRPr="00FE0C47" w:rsidRDefault="00A844E4" w:rsidP="00394E74">
      <w:pPr>
        <w:spacing w:afterLines="200" w:after="480" w:line="360" w:lineRule="auto"/>
        <w:jc w:val="both"/>
        <w:rPr>
          <w:rFonts w:asciiTheme="minorHAnsi" w:hAnsiTheme="minorHAnsi"/>
          <w:sz w:val="22"/>
          <w:szCs w:val="22"/>
          <w:lang w:val="es-ES_tradnl"/>
        </w:rPr>
      </w:pPr>
      <w:r w:rsidRPr="008C6B8A">
        <w:rPr>
          <w:rFonts w:asciiTheme="minorHAnsi" w:hAnsiTheme="minorHAnsi"/>
          <w:sz w:val="22"/>
          <w:szCs w:val="22"/>
          <w:lang w:val="es-ES_tradnl"/>
        </w:rPr>
        <w:t>E</w:t>
      </w:r>
      <w:r w:rsidR="004613D6" w:rsidRPr="008C6B8A">
        <w:rPr>
          <w:rFonts w:asciiTheme="minorHAnsi" w:hAnsiTheme="minorHAnsi"/>
          <w:sz w:val="22"/>
          <w:szCs w:val="22"/>
          <w:lang w:val="es-ES_tradnl"/>
        </w:rPr>
        <w:t xml:space="preserve">s </w:t>
      </w:r>
      <w:r w:rsidR="00EA562E" w:rsidRPr="008C6B8A">
        <w:rPr>
          <w:rFonts w:asciiTheme="minorHAnsi" w:hAnsiTheme="minorHAnsi"/>
          <w:sz w:val="22"/>
          <w:szCs w:val="22"/>
          <w:lang w:val="es-ES_tradnl"/>
        </w:rPr>
        <w:t>preciso tener en cuenta los datos</w:t>
      </w:r>
      <w:r w:rsidR="008C6B8A">
        <w:rPr>
          <w:rFonts w:asciiTheme="minorHAnsi" w:hAnsiTheme="minorHAnsi"/>
          <w:sz w:val="22"/>
          <w:szCs w:val="22"/>
          <w:lang w:val="es-ES_tradnl"/>
        </w:rPr>
        <w:t xml:space="preserve"> sobr</w:t>
      </w:r>
      <w:r w:rsidR="004613D6" w:rsidRPr="008C6B8A">
        <w:rPr>
          <w:rFonts w:asciiTheme="minorHAnsi" w:hAnsiTheme="minorHAnsi"/>
          <w:sz w:val="22"/>
          <w:szCs w:val="22"/>
          <w:lang w:val="es-ES_tradnl"/>
        </w:rPr>
        <w:t>e persistencia</w:t>
      </w:r>
      <w:r w:rsidR="008C6B8A">
        <w:rPr>
          <w:rFonts w:asciiTheme="minorHAnsi" w:hAnsiTheme="minorHAnsi"/>
          <w:sz w:val="22"/>
          <w:szCs w:val="22"/>
          <w:lang w:val="es-ES_tradnl"/>
        </w:rPr>
        <w:t xml:space="preserve"> (persistir en el deseo de cambio de género) que han sido publicados por diversos autores. </w:t>
      </w:r>
      <w:r w:rsidR="003D3CF2">
        <w:rPr>
          <w:rFonts w:asciiTheme="minorHAnsi" w:hAnsiTheme="minorHAnsi"/>
          <w:sz w:val="22"/>
          <w:szCs w:val="22"/>
          <w:lang w:val="es-ES_tradnl"/>
        </w:rPr>
        <w:t xml:space="preserve">Según </w:t>
      </w:r>
      <w:r w:rsidR="008C6B8A">
        <w:rPr>
          <w:rFonts w:asciiTheme="minorHAnsi" w:hAnsiTheme="minorHAnsi"/>
          <w:sz w:val="22"/>
          <w:szCs w:val="22"/>
          <w:lang w:val="es-ES_tradnl"/>
        </w:rPr>
        <w:t>la literatura médica</w:t>
      </w:r>
      <w:r w:rsidR="00E92442">
        <w:rPr>
          <w:rFonts w:asciiTheme="minorHAnsi" w:hAnsiTheme="minorHAnsi"/>
          <w:sz w:val="22"/>
          <w:szCs w:val="22"/>
          <w:lang w:val="es-ES_tradnl"/>
        </w:rPr>
        <w:t>,</w:t>
      </w:r>
      <w:r w:rsidR="008C6B8A">
        <w:rPr>
          <w:rFonts w:asciiTheme="minorHAnsi" w:hAnsiTheme="minorHAnsi"/>
          <w:sz w:val="22"/>
          <w:szCs w:val="22"/>
          <w:lang w:val="es-ES_tradnl"/>
        </w:rPr>
        <w:t xml:space="preserve"> </w:t>
      </w:r>
      <w:r w:rsidR="003D3CF2">
        <w:rPr>
          <w:rFonts w:asciiTheme="minorHAnsi" w:hAnsiTheme="minorHAnsi"/>
          <w:sz w:val="22"/>
          <w:szCs w:val="22"/>
          <w:lang w:val="es-ES_tradnl"/>
        </w:rPr>
        <w:t xml:space="preserve">existe </w:t>
      </w:r>
      <w:r w:rsidR="004613D6" w:rsidRPr="008C6B8A">
        <w:rPr>
          <w:rFonts w:asciiTheme="minorHAnsi" w:hAnsiTheme="minorHAnsi"/>
          <w:sz w:val="22"/>
          <w:szCs w:val="22"/>
          <w:lang w:val="es-ES_tradnl"/>
        </w:rPr>
        <w:t xml:space="preserve">una </w:t>
      </w:r>
      <w:r w:rsidR="00EA562E" w:rsidRPr="008C6B8A">
        <w:rPr>
          <w:rFonts w:asciiTheme="minorHAnsi" w:hAnsiTheme="minorHAnsi"/>
          <w:sz w:val="22"/>
          <w:szCs w:val="22"/>
          <w:lang w:val="es-ES_tradnl"/>
        </w:rPr>
        <w:t xml:space="preserve">gran variabilidad </w:t>
      </w:r>
      <w:r w:rsidR="004613D6" w:rsidRPr="008C6B8A">
        <w:rPr>
          <w:rFonts w:asciiTheme="minorHAnsi" w:hAnsiTheme="minorHAnsi"/>
          <w:sz w:val="22"/>
          <w:szCs w:val="22"/>
          <w:lang w:val="es-ES_tradnl"/>
        </w:rPr>
        <w:t>en la tasa de persistencia</w:t>
      </w:r>
      <w:r w:rsidR="008C6B8A">
        <w:rPr>
          <w:rFonts w:asciiTheme="minorHAnsi" w:hAnsiTheme="minorHAnsi"/>
          <w:sz w:val="22"/>
          <w:szCs w:val="22"/>
          <w:lang w:val="es-ES_tradnl"/>
        </w:rPr>
        <w:t>,</w:t>
      </w:r>
      <w:r w:rsidR="004613D6" w:rsidRPr="008C6B8A">
        <w:rPr>
          <w:rFonts w:asciiTheme="minorHAnsi" w:hAnsiTheme="minorHAnsi"/>
          <w:sz w:val="22"/>
          <w:szCs w:val="22"/>
          <w:lang w:val="es-ES_tradnl"/>
        </w:rPr>
        <w:t xml:space="preserve"> que oscila entre el </w:t>
      </w:r>
      <w:r w:rsidR="00EA562E" w:rsidRPr="008C6B8A">
        <w:rPr>
          <w:rFonts w:asciiTheme="minorHAnsi" w:hAnsiTheme="minorHAnsi"/>
          <w:sz w:val="22"/>
          <w:szCs w:val="22"/>
          <w:lang w:val="es-ES_tradnl"/>
        </w:rPr>
        <w:t>27%</w:t>
      </w:r>
      <w:r w:rsidR="004613D6" w:rsidRPr="008C6B8A">
        <w:rPr>
          <w:rFonts w:asciiTheme="minorHAnsi" w:hAnsiTheme="minorHAnsi"/>
          <w:sz w:val="22"/>
          <w:szCs w:val="22"/>
          <w:lang w:val="es-ES_tradnl"/>
        </w:rPr>
        <w:t xml:space="preserve"> y el </w:t>
      </w:r>
      <w:r w:rsidR="00EA562E" w:rsidRPr="008C6B8A">
        <w:rPr>
          <w:rFonts w:asciiTheme="minorHAnsi" w:hAnsiTheme="minorHAnsi"/>
          <w:sz w:val="22"/>
          <w:szCs w:val="22"/>
          <w:lang w:val="es-ES_tradnl"/>
        </w:rPr>
        <w:t xml:space="preserve">95%. </w:t>
      </w:r>
      <w:r w:rsidR="008C6B8A">
        <w:rPr>
          <w:rFonts w:asciiTheme="minorHAnsi" w:hAnsiTheme="minorHAnsi"/>
          <w:sz w:val="22"/>
          <w:szCs w:val="22"/>
          <w:lang w:val="es-ES_tradnl"/>
        </w:rPr>
        <w:t>Ello implica u</w:t>
      </w:r>
      <w:r w:rsidR="00EA562E" w:rsidRPr="008C6B8A">
        <w:rPr>
          <w:rFonts w:asciiTheme="minorHAnsi" w:hAnsiTheme="minorHAnsi"/>
          <w:sz w:val="22"/>
          <w:szCs w:val="22"/>
          <w:lang w:val="es-ES_tradnl"/>
        </w:rPr>
        <w:t xml:space="preserve">na tasa significativa de </w:t>
      </w:r>
      <w:r w:rsidR="003D3CF2">
        <w:rPr>
          <w:rFonts w:asciiTheme="minorHAnsi" w:hAnsiTheme="minorHAnsi"/>
          <w:sz w:val="22"/>
          <w:szCs w:val="22"/>
          <w:lang w:val="es-ES_tradnl"/>
        </w:rPr>
        <w:t>preadolescentes</w:t>
      </w:r>
      <w:r w:rsidR="008C6B8A">
        <w:rPr>
          <w:rFonts w:asciiTheme="minorHAnsi" w:hAnsiTheme="minorHAnsi"/>
          <w:sz w:val="22"/>
          <w:szCs w:val="22"/>
          <w:lang w:val="es-ES_tradnl"/>
        </w:rPr>
        <w:t xml:space="preserve"> (5-73%)</w:t>
      </w:r>
      <w:r w:rsidR="004613D6" w:rsidRPr="008C6B8A">
        <w:rPr>
          <w:rFonts w:asciiTheme="minorHAnsi" w:hAnsiTheme="minorHAnsi"/>
          <w:sz w:val="22"/>
          <w:szCs w:val="22"/>
          <w:lang w:val="es-ES_tradnl"/>
        </w:rPr>
        <w:t xml:space="preserve"> </w:t>
      </w:r>
      <w:r w:rsidR="00EA562E" w:rsidRPr="008C6B8A">
        <w:rPr>
          <w:rFonts w:asciiTheme="minorHAnsi" w:hAnsiTheme="minorHAnsi"/>
          <w:sz w:val="22"/>
          <w:szCs w:val="22"/>
          <w:lang w:val="es-ES_tradnl"/>
        </w:rPr>
        <w:t xml:space="preserve">que </w:t>
      </w:r>
      <w:r w:rsidR="008C6B8A">
        <w:rPr>
          <w:rFonts w:asciiTheme="minorHAnsi" w:hAnsiTheme="minorHAnsi"/>
          <w:sz w:val="22"/>
          <w:szCs w:val="22"/>
          <w:lang w:val="es-ES_tradnl"/>
        </w:rPr>
        <w:t xml:space="preserve">durante un periodo de su infancia </w:t>
      </w:r>
      <w:r w:rsidR="00E92442">
        <w:rPr>
          <w:rFonts w:asciiTheme="minorHAnsi" w:hAnsiTheme="minorHAnsi"/>
          <w:sz w:val="22"/>
          <w:szCs w:val="22"/>
          <w:lang w:val="es-ES_tradnl"/>
        </w:rPr>
        <w:t>dicen sentir deseo de cambio de sexo pero que no</w:t>
      </w:r>
      <w:r w:rsidR="00EA562E" w:rsidRPr="008C6B8A">
        <w:rPr>
          <w:rFonts w:asciiTheme="minorHAnsi" w:hAnsiTheme="minorHAnsi"/>
          <w:sz w:val="22"/>
          <w:szCs w:val="22"/>
          <w:lang w:val="es-ES_tradnl"/>
        </w:rPr>
        <w:t xml:space="preserve"> seguirá</w:t>
      </w:r>
      <w:r w:rsidR="00E92442">
        <w:rPr>
          <w:rFonts w:asciiTheme="minorHAnsi" w:hAnsiTheme="minorHAnsi"/>
          <w:sz w:val="22"/>
          <w:szCs w:val="22"/>
          <w:lang w:val="es-ES_tradnl"/>
        </w:rPr>
        <w:t>n</w:t>
      </w:r>
      <w:r w:rsidR="00EA562E" w:rsidRPr="008C6B8A">
        <w:rPr>
          <w:rFonts w:asciiTheme="minorHAnsi" w:hAnsiTheme="minorHAnsi"/>
          <w:sz w:val="22"/>
          <w:szCs w:val="22"/>
          <w:lang w:val="es-ES_tradnl"/>
        </w:rPr>
        <w:t xml:space="preserve"> experimentado la disforia de</w:t>
      </w:r>
      <w:r w:rsidR="004613D6" w:rsidRPr="008C6B8A">
        <w:rPr>
          <w:rFonts w:asciiTheme="minorHAnsi" w:hAnsiTheme="minorHAnsi"/>
          <w:sz w:val="22"/>
          <w:szCs w:val="22"/>
          <w:lang w:val="es-ES_tradnl"/>
        </w:rPr>
        <w:t xml:space="preserve"> </w:t>
      </w:r>
      <w:r w:rsidR="00EA562E" w:rsidRPr="008C6B8A">
        <w:rPr>
          <w:rFonts w:asciiTheme="minorHAnsi" w:hAnsiTheme="minorHAnsi"/>
          <w:sz w:val="22"/>
          <w:szCs w:val="22"/>
          <w:lang w:val="es-ES_tradnl"/>
        </w:rPr>
        <w:t>géne</w:t>
      </w:r>
      <w:r w:rsidR="004613D6" w:rsidRPr="008C6B8A">
        <w:rPr>
          <w:rFonts w:asciiTheme="minorHAnsi" w:hAnsiTheme="minorHAnsi"/>
          <w:sz w:val="22"/>
          <w:szCs w:val="22"/>
          <w:lang w:val="es-ES_tradnl"/>
        </w:rPr>
        <w:t xml:space="preserve">ro en la </w:t>
      </w:r>
      <w:r w:rsidR="00FE0C47" w:rsidRPr="008C6B8A">
        <w:rPr>
          <w:rFonts w:asciiTheme="minorHAnsi" w:hAnsiTheme="minorHAnsi"/>
          <w:sz w:val="22"/>
          <w:szCs w:val="22"/>
          <w:lang w:val="es-ES_tradnl"/>
        </w:rPr>
        <w:t>adolescencia</w:t>
      </w:r>
      <w:r w:rsidR="00FE0C47">
        <w:rPr>
          <w:rStyle w:val="Refdenotaalpie"/>
          <w:rFonts w:asciiTheme="minorHAnsi" w:hAnsiTheme="minorHAnsi"/>
          <w:sz w:val="22"/>
          <w:szCs w:val="22"/>
          <w:lang w:val="es-ES_tradnl"/>
        </w:rPr>
        <w:footnoteReference w:id="7"/>
      </w:r>
      <w:r w:rsidR="00FE0C47" w:rsidRPr="00586DB6">
        <w:rPr>
          <w:rFonts w:asciiTheme="minorHAnsi" w:hAnsiTheme="minorHAnsi"/>
          <w:sz w:val="22"/>
          <w:szCs w:val="22"/>
          <w:vertAlign w:val="superscript"/>
          <w:lang w:val="es-ES_tradnl"/>
        </w:rPr>
        <w:t>.</w:t>
      </w:r>
      <w:r w:rsidR="00FE0C47">
        <w:rPr>
          <w:rStyle w:val="Refdenotaalpie"/>
          <w:rFonts w:asciiTheme="minorHAnsi" w:hAnsiTheme="minorHAnsi"/>
          <w:sz w:val="22"/>
          <w:szCs w:val="22"/>
          <w:lang w:val="es-ES_tradnl"/>
        </w:rPr>
        <w:footnoteReference w:id="8"/>
      </w:r>
      <w:r w:rsidR="00FE0C47" w:rsidRPr="00586DB6">
        <w:rPr>
          <w:rFonts w:asciiTheme="minorHAnsi" w:hAnsiTheme="minorHAnsi"/>
          <w:sz w:val="22"/>
          <w:szCs w:val="22"/>
          <w:vertAlign w:val="superscript"/>
          <w:lang w:val="es-ES_tradnl"/>
        </w:rPr>
        <w:t>,</w:t>
      </w:r>
      <w:r w:rsidR="00FE0C47">
        <w:rPr>
          <w:rStyle w:val="Refdenotaalpie"/>
          <w:rFonts w:asciiTheme="minorHAnsi" w:hAnsiTheme="minorHAnsi"/>
          <w:sz w:val="22"/>
          <w:szCs w:val="22"/>
          <w:lang w:val="es-ES_tradnl"/>
        </w:rPr>
        <w:footnoteReference w:id="9"/>
      </w:r>
      <w:r w:rsidR="00FE0C47" w:rsidRPr="00586DB6">
        <w:rPr>
          <w:rFonts w:asciiTheme="minorHAnsi" w:hAnsiTheme="minorHAnsi"/>
          <w:sz w:val="22"/>
          <w:szCs w:val="22"/>
          <w:vertAlign w:val="superscript"/>
          <w:lang w:val="es-ES_tradnl"/>
        </w:rPr>
        <w:t>,</w:t>
      </w:r>
      <w:r w:rsidR="00FE0C47">
        <w:rPr>
          <w:rStyle w:val="Refdenotaalpie"/>
          <w:rFonts w:asciiTheme="minorHAnsi" w:hAnsiTheme="minorHAnsi"/>
          <w:sz w:val="22"/>
          <w:szCs w:val="22"/>
          <w:lang w:val="es-ES_tradnl"/>
        </w:rPr>
        <w:footnoteReference w:id="10"/>
      </w:r>
      <w:r w:rsidR="00FE0C47" w:rsidRPr="00586DB6">
        <w:rPr>
          <w:rFonts w:asciiTheme="minorHAnsi" w:hAnsiTheme="minorHAnsi"/>
          <w:sz w:val="22"/>
          <w:szCs w:val="22"/>
          <w:vertAlign w:val="superscript"/>
          <w:lang w:val="es-ES_tradnl"/>
        </w:rPr>
        <w:t>,</w:t>
      </w:r>
      <w:r w:rsidR="00FE0C47">
        <w:rPr>
          <w:rStyle w:val="Refdenotaalpie"/>
          <w:rFonts w:asciiTheme="minorHAnsi" w:hAnsiTheme="minorHAnsi"/>
          <w:sz w:val="22"/>
          <w:szCs w:val="22"/>
          <w:lang w:val="es-ES_tradnl"/>
        </w:rPr>
        <w:footnoteReference w:id="11"/>
      </w:r>
      <w:r w:rsidR="00FE0C47" w:rsidRPr="00586DB6">
        <w:rPr>
          <w:rFonts w:asciiTheme="minorHAnsi" w:hAnsiTheme="minorHAnsi"/>
          <w:sz w:val="22"/>
          <w:szCs w:val="22"/>
          <w:vertAlign w:val="superscript"/>
          <w:lang w:val="es-ES_tradnl"/>
        </w:rPr>
        <w:t>,</w:t>
      </w:r>
      <w:r w:rsidR="00FE0C47">
        <w:rPr>
          <w:rStyle w:val="Refdenotaalpie"/>
          <w:rFonts w:asciiTheme="minorHAnsi" w:hAnsiTheme="minorHAnsi"/>
          <w:sz w:val="22"/>
          <w:szCs w:val="22"/>
          <w:lang w:val="es-ES_tradnl"/>
        </w:rPr>
        <w:footnoteReference w:id="12"/>
      </w:r>
      <w:r w:rsidR="00FE0C47">
        <w:rPr>
          <w:i/>
          <w:sz w:val="16"/>
          <w:szCs w:val="16"/>
        </w:rPr>
        <w:t>.</w:t>
      </w:r>
    </w:p>
    <w:p w14:paraId="17C7E348" w14:textId="2A8157CC" w:rsidR="00EA562E" w:rsidRPr="008C6B8A" w:rsidRDefault="00EA562E" w:rsidP="00394E74">
      <w:pPr>
        <w:spacing w:afterLines="200" w:after="480" w:line="360" w:lineRule="auto"/>
        <w:jc w:val="both"/>
        <w:rPr>
          <w:rFonts w:asciiTheme="minorHAnsi" w:hAnsiTheme="minorHAnsi"/>
          <w:sz w:val="22"/>
          <w:szCs w:val="22"/>
          <w:lang w:val="es-ES_tradnl"/>
        </w:rPr>
      </w:pPr>
      <w:r w:rsidRPr="008C6B8A">
        <w:rPr>
          <w:rFonts w:asciiTheme="minorHAnsi" w:hAnsiTheme="minorHAnsi"/>
          <w:sz w:val="22"/>
          <w:szCs w:val="22"/>
          <w:lang w:val="es-ES_tradnl"/>
        </w:rPr>
        <w:t>Los criterios para pasar a la fase quirúrgica genital</w:t>
      </w:r>
      <w:r w:rsidR="003D3CF2">
        <w:rPr>
          <w:rFonts w:asciiTheme="minorHAnsi" w:hAnsiTheme="minorHAnsi"/>
          <w:sz w:val="22"/>
          <w:szCs w:val="22"/>
          <w:lang w:val="es-ES_tradnl"/>
        </w:rPr>
        <w:t xml:space="preserve"> exigen</w:t>
      </w:r>
      <w:r w:rsidR="00B654C9">
        <w:rPr>
          <w:rFonts w:asciiTheme="minorHAnsi" w:hAnsiTheme="minorHAnsi"/>
          <w:sz w:val="22"/>
          <w:szCs w:val="22"/>
          <w:lang w:val="es-ES_tradnl"/>
        </w:rPr>
        <w:t>,</w:t>
      </w:r>
      <w:r w:rsidR="00A844E4" w:rsidRPr="008C6B8A">
        <w:rPr>
          <w:rFonts w:asciiTheme="minorHAnsi" w:hAnsiTheme="minorHAnsi"/>
          <w:sz w:val="22"/>
          <w:szCs w:val="22"/>
          <w:lang w:val="es-ES_tradnl"/>
        </w:rPr>
        <w:t xml:space="preserve"> </w:t>
      </w:r>
      <w:r w:rsidRPr="008C6B8A">
        <w:rPr>
          <w:rFonts w:asciiTheme="minorHAnsi" w:hAnsiTheme="minorHAnsi"/>
          <w:sz w:val="22"/>
          <w:szCs w:val="22"/>
          <w:lang w:val="es-ES_tradnl"/>
        </w:rPr>
        <w:t>no solamente más de un año de tratamiento</w:t>
      </w:r>
      <w:r w:rsidR="007747CE" w:rsidRPr="008C6B8A">
        <w:rPr>
          <w:rFonts w:asciiTheme="minorHAnsi" w:hAnsiTheme="minorHAnsi"/>
          <w:sz w:val="22"/>
          <w:szCs w:val="22"/>
          <w:lang w:val="es-ES_tradnl"/>
        </w:rPr>
        <w:t xml:space="preserve"> </w:t>
      </w:r>
      <w:r w:rsidRPr="008C6B8A">
        <w:rPr>
          <w:rFonts w:asciiTheme="minorHAnsi" w:hAnsiTheme="minorHAnsi"/>
          <w:sz w:val="22"/>
          <w:szCs w:val="22"/>
          <w:lang w:val="es-ES_tradnl"/>
        </w:rPr>
        <w:t>hormonal sino también haber vivido</w:t>
      </w:r>
      <w:r w:rsidR="00B654C9">
        <w:rPr>
          <w:rFonts w:asciiTheme="minorHAnsi" w:hAnsiTheme="minorHAnsi"/>
          <w:sz w:val="22"/>
          <w:szCs w:val="22"/>
          <w:lang w:val="es-ES_tradnl"/>
        </w:rPr>
        <w:t>,</w:t>
      </w:r>
      <w:r w:rsidRPr="008C6B8A">
        <w:rPr>
          <w:rFonts w:asciiTheme="minorHAnsi" w:hAnsiTheme="minorHAnsi"/>
          <w:sz w:val="22"/>
          <w:szCs w:val="22"/>
          <w:lang w:val="es-ES_tradnl"/>
        </w:rPr>
        <w:t xml:space="preserve"> de forma satisfactoria</w:t>
      </w:r>
      <w:r w:rsidR="00B654C9">
        <w:rPr>
          <w:rFonts w:asciiTheme="minorHAnsi" w:hAnsiTheme="minorHAnsi"/>
          <w:sz w:val="22"/>
          <w:szCs w:val="22"/>
          <w:lang w:val="es-ES_tradnl"/>
        </w:rPr>
        <w:t>,</w:t>
      </w:r>
      <w:r w:rsidR="00A844E4" w:rsidRPr="008C6B8A">
        <w:rPr>
          <w:rFonts w:asciiTheme="minorHAnsi" w:hAnsiTheme="minorHAnsi"/>
          <w:sz w:val="22"/>
          <w:szCs w:val="22"/>
          <w:lang w:val="es-ES_tradnl"/>
        </w:rPr>
        <w:t xml:space="preserve"> </w:t>
      </w:r>
      <w:r w:rsidRPr="008C6B8A">
        <w:rPr>
          <w:rFonts w:asciiTheme="minorHAnsi" w:hAnsiTheme="minorHAnsi"/>
          <w:sz w:val="22"/>
          <w:szCs w:val="22"/>
          <w:lang w:val="es-ES_tradnl"/>
        </w:rPr>
        <w:t xml:space="preserve">con el rol de género sentido a un </w:t>
      </w:r>
      <w:r w:rsidR="003D3CF2">
        <w:rPr>
          <w:rFonts w:asciiTheme="minorHAnsi" w:hAnsiTheme="minorHAnsi"/>
          <w:sz w:val="22"/>
          <w:szCs w:val="22"/>
          <w:lang w:val="es-ES_tradnl"/>
        </w:rPr>
        <w:t xml:space="preserve">alto </w:t>
      </w:r>
      <w:r w:rsidRPr="008C6B8A">
        <w:rPr>
          <w:rFonts w:asciiTheme="minorHAnsi" w:hAnsiTheme="minorHAnsi"/>
          <w:sz w:val="22"/>
          <w:szCs w:val="22"/>
          <w:lang w:val="es-ES_tradnl"/>
        </w:rPr>
        <w:t>nivel</w:t>
      </w:r>
      <w:r w:rsidR="007747CE" w:rsidRPr="008C6B8A">
        <w:rPr>
          <w:rFonts w:asciiTheme="minorHAnsi" w:hAnsiTheme="minorHAnsi"/>
          <w:sz w:val="22"/>
          <w:szCs w:val="22"/>
          <w:lang w:val="es-ES_tradnl"/>
        </w:rPr>
        <w:t xml:space="preserve"> </w:t>
      </w:r>
      <w:r w:rsidRPr="008C6B8A">
        <w:rPr>
          <w:rFonts w:asciiTheme="minorHAnsi" w:hAnsiTheme="minorHAnsi"/>
          <w:sz w:val="22"/>
          <w:szCs w:val="22"/>
          <w:lang w:val="es-ES_tradnl"/>
        </w:rPr>
        <w:t>de satisfacción. El apoyo psicológico durante</w:t>
      </w:r>
      <w:r w:rsidR="00A844E4" w:rsidRPr="008C6B8A">
        <w:rPr>
          <w:rFonts w:asciiTheme="minorHAnsi" w:hAnsiTheme="minorHAnsi"/>
          <w:sz w:val="22"/>
          <w:szCs w:val="22"/>
          <w:lang w:val="es-ES_tradnl"/>
        </w:rPr>
        <w:t xml:space="preserve"> </w:t>
      </w:r>
      <w:r w:rsidRPr="008C6B8A">
        <w:rPr>
          <w:rFonts w:asciiTheme="minorHAnsi" w:hAnsiTheme="minorHAnsi"/>
          <w:sz w:val="22"/>
          <w:szCs w:val="22"/>
          <w:lang w:val="es-ES_tradnl"/>
        </w:rPr>
        <w:t xml:space="preserve">esta fase consiste </w:t>
      </w:r>
      <w:r w:rsidR="004946C6" w:rsidRPr="008C6B8A">
        <w:rPr>
          <w:rFonts w:asciiTheme="minorHAnsi" w:hAnsiTheme="minorHAnsi"/>
          <w:sz w:val="22"/>
          <w:szCs w:val="22"/>
          <w:lang w:val="es-ES_tradnl"/>
        </w:rPr>
        <w:t>en enseñar</w:t>
      </w:r>
      <w:r w:rsidR="003D3CF2">
        <w:rPr>
          <w:rFonts w:asciiTheme="minorHAnsi" w:hAnsiTheme="minorHAnsi"/>
          <w:sz w:val="22"/>
          <w:szCs w:val="22"/>
          <w:lang w:val="es-ES_tradnl"/>
        </w:rPr>
        <w:t xml:space="preserve"> la forma de controlar </w:t>
      </w:r>
      <w:r w:rsidRPr="008C6B8A">
        <w:rPr>
          <w:rFonts w:asciiTheme="minorHAnsi" w:hAnsiTheme="minorHAnsi"/>
          <w:sz w:val="22"/>
          <w:szCs w:val="22"/>
          <w:lang w:val="es-ES_tradnl"/>
        </w:rPr>
        <w:t>la ansiedad anticipatoria pre-quirúrgica y</w:t>
      </w:r>
      <w:r w:rsidR="00A844E4" w:rsidRPr="008C6B8A">
        <w:rPr>
          <w:rFonts w:asciiTheme="minorHAnsi" w:hAnsiTheme="minorHAnsi"/>
          <w:sz w:val="22"/>
          <w:szCs w:val="22"/>
          <w:lang w:val="es-ES_tradnl"/>
        </w:rPr>
        <w:t xml:space="preserve"> </w:t>
      </w:r>
      <w:r w:rsidRPr="008C6B8A">
        <w:rPr>
          <w:rFonts w:asciiTheme="minorHAnsi" w:hAnsiTheme="minorHAnsi"/>
          <w:sz w:val="22"/>
          <w:szCs w:val="22"/>
          <w:lang w:val="es-ES_tradnl"/>
        </w:rPr>
        <w:t xml:space="preserve">en </w:t>
      </w:r>
      <w:r w:rsidR="007320FB">
        <w:rPr>
          <w:rFonts w:asciiTheme="minorHAnsi" w:hAnsiTheme="minorHAnsi"/>
          <w:sz w:val="22"/>
          <w:szCs w:val="22"/>
          <w:lang w:val="es-ES_tradnl"/>
        </w:rPr>
        <w:t xml:space="preserve">instaurar </w:t>
      </w:r>
      <w:r w:rsidRPr="008C6B8A">
        <w:rPr>
          <w:rFonts w:asciiTheme="minorHAnsi" w:hAnsiTheme="minorHAnsi"/>
          <w:sz w:val="22"/>
          <w:szCs w:val="22"/>
          <w:lang w:val="es-ES_tradnl"/>
        </w:rPr>
        <w:t>pautas de control emocional.</w:t>
      </w:r>
    </w:p>
    <w:p w14:paraId="6A6703B1" w14:textId="77777777" w:rsidR="007747CE" w:rsidRPr="008C6B8A" w:rsidRDefault="007747CE" w:rsidP="00394E74">
      <w:pPr>
        <w:spacing w:afterLines="200" w:after="480" w:line="360" w:lineRule="auto"/>
        <w:jc w:val="both"/>
        <w:rPr>
          <w:rFonts w:asciiTheme="minorHAnsi" w:hAnsiTheme="minorHAnsi"/>
          <w:sz w:val="22"/>
          <w:szCs w:val="22"/>
          <w:lang w:val="es-ES_tradnl"/>
        </w:rPr>
      </w:pPr>
      <w:r w:rsidRPr="008C6B8A">
        <w:rPr>
          <w:rFonts w:asciiTheme="minorHAnsi" w:hAnsiTheme="minorHAnsi"/>
          <w:sz w:val="22"/>
          <w:szCs w:val="22"/>
          <w:lang w:val="es-ES_tradnl"/>
        </w:rPr>
        <w:t>Dadas las consecuencias parcial o</w:t>
      </w:r>
      <w:r w:rsidR="00870931" w:rsidRPr="008C6B8A">
        <w:rPr>
          <w:rFonts w:asciiTheme="minorHAnsi" w:hAnsiTheme="minorHAnsi"/>
          <w:sz w:val="22"/>
          <w:szCs w:val="22"/>
          <w:lang w:val="es-ES_tradnl"/>
        </w:rPr>
        <w:t xml:space="preserve"> </w:t>
      </w:r>
      <w:r w:rsidRPr="008C6B8A">
        <w:rPr>
          <w:rFonts w:asciiTheme="minorHAnsi" w:hAnsiTheme="minorHAnsi"/>
          <w:sz w:val="22"/>
          <w:szCs w:val="22"/>
          <w:lang w:val="es-ES_tradnl"/>
        </w:rPr>
        <w:t>totalmente</w:t>
      </w:r>
      <w:r w:rsidR="003D3CF2">
        <w:rPr>
          <w:rFonts w:asciiTheme="minorHAnsi" w:hAnsiTheme="minorHAnsi"/>
          <w:sz w:val="22"/>
          <w:szCs w:val="22"/>
          <w:lang w:val="es-ES_tradnl"/>
        </w:rPr>
        <w:t xml:space="preserve"> irreversibles</w:t>
      </w:r>
      <w:r w:rsidRPr="008C6B8A">
        <w:rPr>
          <w:rFonts w:asciiTheme="minorHAnsi" w:hAnsiTheme="minorHAnsi"/>
          <w:sz w:val="22"/>
          <w:szCs w:val="22"/>
          <w:lang w:val="es-ES_tradnl"/>
        </w:rPr>
        <w:t xml:space="preserve"> de los tratamientos hormonales, es absolutamente</w:t>
      </w:r>
      <w:r w:rsidR="00870931" w:rsidRPr="008C6B8A">
        <w:rPr>
          <w:rFonts w:asciiTheme="minorHAnsi" w:hAnsiTheme="minorHAnsi"/>
          <w:sz w:val="22"/>
          <w:szCs w:val="22"/>
          <w:lang w:val="es-ES_tradnl"/>
        </w:rPr>
        <w:t xml:space="preserve"> </w:t>
      </w:r>
      <w:r w:rsidRPr="008C6B8A">
        <w:rPr>
          <w:rFonts w:asciiTheme="minorHAnsi" w:hAnsiTheme="minorHAnsi"/>
          <w:sz w:val="22"/>
          <w:szCs w:val="22"/>
          <w:lang w:val="es-ES_tradnl"/>
        </w:rPr>
        <w:t>necesario realizar un cuidadoso diagnóstico</w:t>
      </w:r>
      <w:r w:rsidR="00870931" w:rsidRPr="008C6B8A">
        <w:rPr>
          <w:rFonts w:asciiTheme="minorHAnsi" w:hAnsiTheme="minorHAnsi"/>
          <w:sz w:val="22"/>
          <w:szCs w:val="22"/>
          <w:lang w:val="es-ES_tradnl"/>
        </w:rPr>
        <w:t xml:space="preserve"> </w:t>
      </w:r>
      <w:r w:rsidRPr="008C6B8A">
        <w:rPr>
          <w:rFonts w:asciiTheme="minorHAnsi" w:hAnsiTheme="minorHAnsi"/>
          <w:sz w:val="22"/>
          <w:szCs w:val="22"/>
          <w:lang w:val="es-ES_tradnl"/>
        </w:rPr>
        <w:t>y una evaluación exhaustiva individualizada</w:t>
      </w:r>
      <w:r w:rsidR="00870931" w:rsidRPr="008C6B8A">
        <w:rPr>
          <w:rFonts w:asciiTheme="minorHAnsi" w:hAnsiTheme="minorHAnsi"/>
          <w:sz w:val="22"/>
          <w:szCs w:val="22"/>
          <w:lang w:val="es-ES_tradnl"/>
        </w:rPr>
        <w:t xml:space="preserve"> </w:t>
      </w:r>
      <w:r w:rsidRPr="008C6B8A">
        <w:rPr>
          <w:rFonts w:asciiTheme="minorHAnsi" w:hAnsiTheme="minorHAnsi"/>
          <w:sz w:val="22"/>
          <w:szCs w:val="22"/>
          <w:lang w:val="es-ES_tradnl"/>
        </w:rPr>
        <w:t xml:space="preserve">en </w:t>
      </w:r>
      <w:r w:rsidR="00B654C9">
        <w:rPr>
          <w:rFonts w:asciiTheme="minorHAnsi" w:hAnsiTheme="minorHAnsi"/>
          <w:sz w:val="22"/>
          <w:szCs w:val="22"/>
          <w:lang w:val="es-ES_tradnl"/>
        </w:rPr>
        <w:t>u</w:t>
      </w:r>
      <w:r w:rsidRPr="008C6B8A">
        <w:rPr>
          <w:rFonts w:asciiTheme="minorHAnsi" w:hAnsiTheme="minorHAnsi"/>
          <w:sz w:val="22"/>
          <w:szCs w:val="22"/>
          <w:lang w:val="es-ES_tradnl"/>
        </w:rPr>
        <w:t>nidades especializadas</w:t>
      </w:r>
      <w:r w:rsidR="003D3CF2">
        <w:rPr>
          <w:rFonts w:asciiTheme="minorHAnsi" w:hAnsiTheme="minorHAnsi"/>
          <w:sz w:val="22"/>
          <w:szCs w:val="22"/>
          <w:lang w:val="es-ES_tradnl"/>
        </w:rPr>
        <w:t>, incluso en el ámbito psicológico</w:t>
      </w:r>
      <w:r w:rsidRPr="008C6B8A">
        <w:rPr>
          <w:rFonts w:asciiTheme="minorHAnsi" w:hAnsiTheme="minorHAnsi"/>
          <w:sz w:val="22"/>
          <w:szCs w:val="22"/>
          <w:lang w:val="es-ES_tradnl"/>
        </w:rPr>
        <w:t>. El diagnóstico debe</w:t>
      </w:r>
      <w:r w:rsidR="00870931" w:rsidRPr="008C6B8A">
        <w:rPr>
          <w:rFonts w:asciiTheme="minorHAnsi" w:hAnsiTheme="minorHAnsi"/>
          <w:sz w:val="22"/>
          <w:szCs w:val="22"/>
          <w:lang w:val="es-ES_tradnl"/>
        </w:rPr>
        <w:t xml:space="preserve"> </w:t>
      </w:r>
      <w:r w:rsidRPr="008C6B8A">
        <w:rPr>
          <w:rFonts w:asciiTheme="minorHAnsi" w:hAnsiTheme="minorHAnsi"/>
          <w:sz w:val="22"/>
          <w:szCs w:val="22"/>
          <w:lang w:val="es-ES_tradnl"/>
        </w:rPr>
        <w:t>ir apoyado por un seguimiento riguroso y continuo</w:t>
      </w:r>
      <w:r w:rsidR="00870931" w:rsidRPr="008C6B8A">
        <w:rPr>
          <w:rFonts w:asciiTheme="minorHAnsi" w:hAnsiTheme="minorHAnsi"/>
          <w:sz w:val="22"/>
          <w:szCs w:val="22"/>
          <w:lang w:val="es-ES_tradnl"/>
        </w:rPr>
        <w:t xml:space="preserve"> </w:t>
      </w:r>
      <w:r w:rsidRPr="008C6B8A">
        <w:rPr>
          <w:rFonts w:asciiTheme="minorHAnsi" w:hAnsiTheme="minorHAnsi"/>
          <w:sz w:val="22"/>
          <w:szCs w:val="22"/>
          <w:lang w:val="es-ES_tradnl"/>
        </w:rPr>
        <w:t>del menor y de su familia con el fin de asesorar</w:t>
      </w:r>
      <w:r w:rsidR="003D3CF2">
        <w:rPr>
          <w:rFonts w:asciiTheme="minorHAnsi" w:hAnsiTheme="minorHAnsi"/>
          <w:sz w:val="22"/>
          <w:szCs w:val="22"/>
          <w:lang w:val="es-ES_tradnl"/>
        </w:rPr>
        <w:t>le</w:t>
      </w:r>
      <w:r w:rsidRPr="008C6B8A">
        <w:rPr>
          <w:rFonts w:asciiTheme="minorHAnsi" w:hAnsiTheme="minorHAnsi"/>
          <w:sz w:val="22"/>
          <w:szCs w:val="22"/>
          <w:lang w:val="es-ES_tradnl"/>
        </w:rPr>
        <w:t xml:space="preserve"> durante</w:t>
      </w:r>
      <w:r w:rsidR="00870931" w:rsidRPr="008C6B8A">
        <w:rPr>
          <w:rFonts w:asciiTheme="minorHAnsi" w:hAnsiTheme="minorHAnsi"/>
          <w:sz w:val="22"/>
          <w:szCs w:val="22"/>
          <w:lang w:val="es-ES_tradnl"/>
        </w:rPr>
        <w:t xml:space="preserve"> </w:t>
      </w:r>
      <w:r w:rsidRPr="008C6B8A">
        <w:rPr>
          <w:rFonts w:asciiTheme="minorHAnsi" w:hAnsiTheme="minorHAnsi"/>
          <w:sz w:val="22"/>
          <w:szCs w:val="22"/>
          <w:lang w:val="es-ES_tradnl"/>
        </w:rPr>
        <w:t>el proceso de construcción de la identidad de</w:t>
      </w:r>
      <w:r w:rsidR="00870931" w:rsidRPr="008C6B8A">
        <w:rPr>
          <w:rFonts w:asciiTheme="minorHAnsi" w:hAnsiTheme="minorHAnsi"/>
          <w:sz w:val="22"/>
          <w:szCs w:val="22"/>
          <w:lang w:val="es-ES_tradnl"/>
        </w:rPr>
        <w:t xml:space="preserve"> género sentida.</w:t>
      </w:r>
    </w:p>
    <w:p w14:paraId="0D058288" w14:textId="77777777" w:rsidR="00870931" w:rsidRDefault="00870931" w:rsidP="00394E74">
      <w:pPr>
        <w:spacing w:afterLines="200" w:after="480" w:line="360" w:lineRule="auto"/>
        <w:rPr>
          <w:rFonts w:asciiTheme="minorHAnsi" w:hAnsiTheme="minorHAnsi"/>
          <w:sz w:val="22"/>
          <w:szCs w:val="22"/>
          <w:lang w:val="es-ES_tradnl"/>
        </w:rPr>
      </w:pPr>
      <w:r w:rsidRPr="00E401CB">
        <w:rPr>
          <w:rFonts w:asciiTheme="minorHAnsi" w:hAnsiTheme="minorHAnsi"/>
          <w:sz w:val="22"/>
          <w:szCs w:val="22"/>
        </w:rPr>
        <w:t xml:space="preserve">El tratamiento hormonal </w:t>
      </w:r>
      <w:r w:rsidR="00B654C9" w:rsidRPr="00E401CB">
        <w:rPr>
          <w:rFonts w:asciiTheme="minorHAnsi" w:hAnsiTheme="minorHAnsi"/>
          <w:sz w:val="22"/>
          <w:szCs w:val="22"/>
        </w:rPr>
        <w:t xml:space="preserve">de la transexualidad </w:t>
      </w:r>
      <w:r w:rsidRPr="00E401CB">
        <w:rPr>
          <w:rFonts w:asciiTheme="minorHAnsi" w:hAnsiTheme="minorHAnsi"/>
          <w:sz w:val="22"/>
          <w:szCs w:val="22"/>
        </w:rPr>
        <w:t>incluye</w:t>
      </w:r>
      <w:r w:rsidRPr="008C6B8A">
        <w:rPr>
          <w:rFonts w:asciiTheme="minorHAnsi" w:hAnsiTheme="minorHAnsi"/>
          <w:sz w:val="22"/>
          <w:szCs w:val="22"/>
          <w:lang w:val="es-ES_tradnl"/>
        </w:rPr>
        <w:t>:</w:t>
      </w:r>
    </w:p>
    <w:p w14:paraId="276D5E18" w14:textId="77777777" w:rsidR="007320FB" w:rsidRDefault="00870931" w:rsidP="00394E74">
      <w:pPr>
        <w:spacing w:afterLines="200" w:after="480" w:line="360" w:lineRule="auto"/>
        <w:ind w:left="708"/>
        <w:jc w:val="both"/>
        <w:rPr>
          <w:rFonts w:asciiTheme="minorHAnsi" w:hAnsiTheme="minorHAnsi"/>
          <w:sz w:val="22"/>
          <w:szCs w:val="22"/>
          <w:lang w:val="es-ES_tradnl"/>
        </w:rPr>
      </w:pPr>
      <w:r w:rsidRPr="008C6B8A">
        <w:rPr>
          <w:rFonts w:asciiTheme="minorHAnsi" w:hAnsiTheme="minorHAnsi"/>
          <w:sz w:val="22"/>
          <w:szCs w:val="22"/>
          <w:lang w:val="es-ES_tradnl"/>
        </w:rPr>
        <w:t xml:space="preserve">1- </w:t>
      </w:r>
      <w:r w:rsidR="00B654C9">
        <w:rPr>
          <w:rFonts w:asciiTheme="minorHAnsi" w:hAnsiTheme="minorHAnsi"/>
          <w:sz w:val="22"/>
          <w:szCs w:val="22"/>
          <w:lang w:val="es-ES_tradnl"/>
        </w:rPr>
        <w:t>“</w:t>
      </w:r>
      <w:r w:rsidRPr="008C6B8A">
        <w:rPr>
          <w:rFonts w:asciiTheme="minorHAnsi" w:hAnsiTheme="minorHAnsi"/>
          <w:sz w:val="22"/>
          <w:szCs w:val="22"/>
          <w:lang w:val="es-ES_tradnl"/>
        </w:rPr>
        <w:t>Frena</w:t>
      </w:r>
      <w:r w:rsidR="00B654C9">
        <w:rPr>
          <w:rFonts w:asciiTheme="minorHAnsi" w:hAnsiTheme="minorHAnsi"/>
          <w:sz w:val="22"/>
          <w:szCs w:val="22"/>
          <w:lang w:val="es-ES_tradnl"/>
        </w:rPr>
        <w:t>do”</w:t>
      </w:r>
      <w:r w:rsidRPr="008C6B8A">
        <w:rPr>
          <w:rFonts w:asciiTheme="minorHAnsi" w:hAnsiTheme="minorHAnsi"/>
          <w:sz w:val="22"/>
          <w:szCs w:val="22"/>
          <w:lang w:val="es-ES_tradnl"/>
        </w:rPr>
        <w:t xml:space="preserve"> puberal con agonistas (análogos de las gonadotropinas GnRH)</w:t>
      </w:r>
    </w:p>
    <w:p w14:paraId="29BF8B86" w14:textId="77777777" w:rsidR="00870931" w:rsidRPr="008C6B8A" w:rsidRDefault="00870931" w:rsidP="00394E74">
      <w:pPr>
        <w:spacing w:afterLines="200" w:after="480" w:line="360" w:lineRule="auto"/>
        <w:ind w:left="708"/>
        <w:jc w:val="both"/>
        <w:rPr>
          <w:rFonts w:asciiTheme="minorHAnsi" w:hAnsiTheme="minorHAnsi"/>
          <w:sz w:val="22"/>
          <w:szCs w:val="22"/>
          <w:lang w:val="es-ES_tradnl"/>
        </w:rPr>
      </w:pPr>
      <w:r w:rsidRPr="008C6B8A">
        <w:rPr>
          <w:rFonts w:asciiTheme="minorHAnsi" w:hAnsiTheme="minorHAnsi"/>
          <w:sz w:val="22"/>
          <w:szCs w:val="22"/>
          <w:lang w:val="es-ES_tradnl"/>
        </w:rPr>
        <w:t>2-</w:t>
      </w:r>
      <w:r w:rsidR="00B34889">
        <w:rPr>
          <w:rFonts w:asciiTheme="minorHAnsi" w:hAnsiTheme="minorHAnsi"/>
          <w:sz w:val="22"/>
          <w:szCs w:val="22"/>
          <w:lang w:val="es-ES_tradnl"/>
        </w:rPr>
        <w:t xml:space="preserve"> </w:t>
      </w:r>
      <w:r w:rsidRPr="008C6B8A">
        <w:rPr>
          <w:rFonts w:asciiTheme="minorHAnsi" w:hAnsiTheme="minorHAnsi"/>
          <w:sz w:val="22"/>
          <w:szCs w:val="22"/>
          <w:lang w:val="es-ES_tradnl"/>
        </w:rPr>
        <w:t>Tratamiento hormonal cruzado</w:t>
      </w:r>
      <w:r w:rsidR="00FB013A">
        <w:rPr>
          <w:rFonts w:asciiTheme="minorHAnsi" w:hAnsiTheme="minorHAnsi"/>
          <w:sz w:val="22"/>
          <w:szCs w:val="22"/>
          <w:lang w:val="es-ES_tradnl"/>
        </w:rPr>
        <w:t xml:space="preserve"> mediante la administración de</w:t>
      </w:r>
      <w:r w:rsidRPr="008C6B8A">
        <w:rPr>
          <w:rFonts w:asciiTheme="minorHAnsi" w:hAnsiTheme="minorHAnsi"/>
          <w:sz w:val="22"/>
          <w:szCs w:val="22"/>
          <w:lang w:val="es-ES_tradnl"/>
        </w:rPr>
        <w:t xml:space="preserve">: </w:t>
      </w:r>
    </w:p>
    <w:p w14:paraId="34584E20" w14:textId="77777777" w:rsidR="00870931" w:rsidRPr="008C6B8A" w:rsidRDefault="00870931" w:rsidP="00394E74">
      <w:pPr>
        <w:pStyle w:val="Prrafodelista"/>
        <w:numPr>
          <w:ilvl w:val="0"/>
          <w:numId w:val="16"/>
        </w:numPr>
        <w:spacing w:afterLines="200" w:after="480" w:line="360" w:lineRule="auto"/>
        <w:jc w:val="both"/>
        <w:rPr>
          <w:rFonts w:asciiTheme="minorHAnsi" w:hAnsiTheme="minorHAnsi"/>
          <w:sz w:val="22"/>
          <w:szCs w:val="22"/>
          <w:lang w:val="es-ES_tradnl"/>
        </w:rPr>
      </w:pPr>
      <w:r w:rsidRPr="008C6B8A">
        <w:rPr>
          <w:rFonts w:asciiTheme="minorHAnsi" w:hAnsiTheme="minorHAnsi"/>
          <w:sz w:val="22"/>
          <w:szCs w:val="22"/>
          <w:lang w:val="es-ES_tradnl"/>
        </w:rPr>
        <w:t>estrógenos y antiandrógenos en transexuales femeninas</w:t>
      </w:r>
    </w:p>
    <w:p w14:paraId="3AB9EF2D" w14:textId="77777777" w:rsidR="00870931" w:rsidRPr="008C6B8A" w:rsidRDefault="00870931" w:rsidP="00394E74">
      <w:pPr>
        <w:pStyle w:val="Prrafodelista"/>
        <w:numPr>
          <w:ilvl w:val="0"/>
          <w:numId w:val="16"/>
        </w:numPr>
        <w:spacing w:afterLines="200" w:after="480" w:line="360" w:lineRule="auto"/>
        <w:jc w:val="both"/>
        <w:rPr>
          <w:rFonts w:asciiTheme="minorHAnsi" w:hAnsiTheme="minorHAnsi"/>
          <w:sz w:val="22"/>
          <w:szCs w:val="22"/>
          <w:lang w:val="es-ES_tradnl"/>
        </w:rPr>
      </w:pPr>
      <w:r w:rsidRPr="008C6B8A">
        <w:rPr>
          <w:rFonts w:asciiTheme="minorHAnsi" w:hAnsiTheme="minorHAnsi"/>
          <w:sz w:val="22"/>
          <w:szCs w:val="22"/>
          <w:lang w:val="es-ES_tradnl"/>
        </w:rPr>
        <w:t>testosterona en transexuales</w:t>
      </w:r>
    </w:p>
    <w:p w14:paraId="0A196B1E" w14:textId="77777777" w:rsidR="004C0DF2" w:rsidRDefault="00870931" w:rsidP="00394E74">
      <w:pPr>
        <w:spacing w:afterLines="200" w:after="480" w:line="360" w:lineRule="auto"/>
        <w:jc w:val="both"/>
        <w:rPr>
          <w:rFonts w:asciiTheme="minorHAnsi" w:hAnsiTheme="minorHAnsi"/>
          <w:sz w:val="22"/>
          <w:szCs w:val="22"/>
          <w:lang w:val="es-ES_tradnl"/>
        </w:rPr>
      </w:pPr>
      <w:r w:rsidRPr="008C6B8A">
        <w:rPr>
          <w:rFonts w:asciiTheme="minorHAnsi" w:hAnsiTheme="minorHAnsi"/>
          <w:sz w:val="22"/>
          <w:szCs w:val="22"/>
          <w:lang w:val="es-ES_tradnl"/>
        </w:rPr>
        <w:t xml:space="preserve"> </w:t>
      </w:r>
      <w:r w:rsidR="00A5638E" w:rsidRPr="008C6B8A">
        <w:rPr>
          <w:rFonts w:asciiTheme="minorHAnsi" w:hAnsiTheme="minorHAnsi"/>
          <w:sz w:val="22"/>
          <w:szCs w:val="22"/>
          <w:lang w:val="es-ES_tradnl"/>
        </w:rPr>
        <w:t xml:space="preserve">El tratamiento </w:t>
      </w:r>
      <w:r w:rsidR="007320FB">
        <w:rPr>
          <w:rFonts w:asciiTheme="minorHAnsi" w:hAnsiTheme="minorHAnsi"/>
          <w:sz w:val="22"/>
          <w:szCs w:val="22"/>
          <w:lang w:val="es-ES_tradnl"/>
        </w:rPr>
        <w:t>hormonal en</w:t>
      </w:r>
      <w:r w:rsidR="00A5638E" w:rsidRPr="008C6B8A">
        <w:rPr>
          <w:rFonts w:asciiTheme="minorHAnsi" w:hAnsiTheme="minorHAnsi"/>
          <w:sz w:val="22"/>
          <w:szCs w:val="22"/>
          <w:lang w:val="es-ES_tradnl"/>
        </w:rPr>
        <w:t xml:space="preserve"> niños y los adolescentes con disforia de género </w:t>
      </w:r>
      <w:r w:rsidR="007320FB">
        <w:rPr>
          <w:rFonts w:asciiTheme="minorHAnsi" w:hAnsiTheme="minorHAnsi"/>
          <w:sz w:val="22"/>
          <w:szCs w:val="22"/>
          <w:lang w:val="es-ES_tradnl"/>
        </w:rPr>
        <w:t>supone</w:t>
      </w:r>
      <w:r w:rsidR="007320FB" w:rsidRPr="008C6B8A">
        <w:rPr>
          <w:rFonts w:asciiTheme="minorHAnsi" w:hAnsiTheme="minorHAnsi"/>
          <w:sz w:val="22"/>
          <w:szCs w:val="22"/>
          <w:lang w:val="es-ES_tradnl"/>
        </w:rPr>
        <w:t xml:space="preserve"> </w:t>
      </w:r>
      <w:r w:rsidR="00254062" w:rsidRPr="008C6B8A">
        <w:rPr>
          <w:rFonts w:asciiTheme="minorHAnsi" w:hAnsiTheme="minorHAnsi"/>
          <w:sz w:val="22"/>
          <w:szCs w:val="22"/>
          <w:lang w:val="es-ES_tradnl"/>
        </w:rPr>
        <w:t>un desafío ético</w:t>
      </w:r>
      <w:r w:rsidR="003E6F40">
        <w:rPr>
          <w:rFonts w:asciiTheme="minorHAnsi" w:hAnsiTheme="minorHAnsi"/>
          <w:sz w:val="22"/>
          <w:szCs w:val="22"/>
          <w:lang w:val="es-ES_tradnl"/>
        </w:rPr>
        <w:t xml:space="preserve"> pues</w:t>
      </w:r>
      <w:r w:rsidR="00A5638E" w:rsidRPr="008C6B8A">
        <w:rPr>
          <w:rFonts w:asciiTheme="minorHAnsi" w:hAnsiTheme="minorHAnsi"/>
          <w:sz w:val="22"/>
          <w:szCs w:val="22"/>
          <w:lang w:val="es-ES_tradnl"/>
        </w:rPr>
        <w:t xml:space="preserve"> </w:t>
      </w:r>
      <w:r w:rsidR="004C0DF2" w:rsidRPr="008C6B8A">
        <w:rPr>
          <w:rFonts w:asciiTheme="minorHAnsi" w:hAnsiTheme="minorHAnsi"/>
          <w:sz w:val="22"/>
          <w:szCs w:val="22"/>
          <w:lang w:val="es-ES_tradnl"/>
        </w:rPr>
        <w:t>los principios</w:t>
      </w:r>
      <w:r w:rsidR="00A5638E" w:rsidRPr="008C6B8A">
        <w:rPr>
          <w:rFonts w:asciiTheme="minorHAnsi" w:hAnsiTheme="minorHAnsi"/>
          <w:sz w:val="22"/>
          <w:szCs w:val="22"/>
          <w:lang w:val="es-ES_tradnl"/>
        </w:rPr>
        <w:t xml:space="preserve"> éticos </w:t>
      </w:r>
      <w:r w:rsidR="00254062" w:rsidRPr="008C6B8A">
        <w:rPr>
          <w:rFonts w:asciiTheme="minorHAnsi" w:hAnsiTheme="minorHAnsi"/>
          <w:sz w:val="22"/>
          <w:szCs w:val="22"/>
          <w:lang w:val="es-ES_tradnl"/>
        </w:rPr>
        <w:t>llevan hacia posiciones discrepantes</w:t>
      </w:r>
      <w:r w:rsidRPr="008C6B8A">
        <w:rPr>
          <w:rFonts w:asciiTheme="minorHAnsi" w:hAnsiTheme="minorHAnsi"/>
          <w:sz w:val="22"/>
          <w:szCs w:val="22"/>
          <w:lang w:val="es-ES_tradnl"/>
        </w:rPr>
        <w:t>. E</w:t>
      </w:r>
      <w:r w:rsidR="00254062" w:rsidRPr="008C6B8A">
        <w:rPr>
          <w:rFonts w:asciiTheme="minorHAnsi" w:hAnsiTheme="minorHAnsi"/>
          <w:sz w:val="22"/>
          <w:szCs w:val="22"/>
          <w:lang w:val="es-ES_tradnl"/>
        </w:rPr>
        <w:t xml:space="preserve">l principio de beneficencia no solamente sugeriría como </w:t>
      </w:r>
      <w:r w:rsidRPr="008C6B8A">
        <w:rPr>
          <w:rFonts w:asciiTheme="minorHAnsi" w:hAnsiTheme="minorHAnsi"/>
          <w:sz w:val="22"/>
          <w:szCs w:val="22"/>
          <w:lang w:val="es-ES_tradnl"/>
        </w:rPr>
        <w:t xml:space="preserve">adecuado el tratamiento empleando hormonas </w:t>
      </w:r>
      <w:r w:rsidR="00A5638E" w:rsidRPr="008C6B8A">
        <w:rPr>
          <w:rFonts w:asciiTheme="minorHAnsi" w:hAnsiTheme="minorHAnsi"/>
          <w:sz w:val="22"/>
          <w:szCs w:val="22"/>
          <w:lang w:val="es-ES_tradnl"/>
        </w:rPr>
        <w:t xml:space="preserve">GnHR para suprimir </w:t>
      </w:r>
      <w:r w:rsidR="00FB013A">
        <w:rPr>
          <w:rFonts w:asciiTheme="minorHAnsi" w:hAnsiTheme="minorHAnsi"/>
          <w:sz w:val="22"/>
          <w:szCs w:val="22"/>
          <w:lang w:val="es-ES_tradnl"/>
        </w:rPr>
        <w:t xml:space="preserve">la </w:t>
      </w:r>
      <w:r w:rsidR="00A5638E" w:rsidRPr="008C6B8A">
        <w:rPr>
          <w:rFonts w:asciiTheme="minorHAnsi" w:hAnsiTheme="minorHAnsi"/>
          <w:sz w:val="22"/>
          <w:szCs w:val="22"/>
          <w:lang w:val="es-ES_tradnl"/>
        </w:rPr>
        <w:t xml:space="preserve">pubertad </w:t>
      </w:r>
      <w:r w:rsidR="004C0DF2" w:rsidRPr="008C6B8A">
        <w:rPr>
          <w:rFonts w:asciiTheme="minorHAnsi" w:hAnsiTheme="minorHAnsi"/>
          <w:sz w:val="22"/>
          <w:szCs w:val="22"/>
          <w:lang w:val="es-ES_tradnl"/>
        </w:rPr>
        <w:t>sino también</w:t>
      </w:r>
      <w:r w:rsidR="00A5638E" w:rsidRPr="008C6B8A">
        <w:rPr>
          <w:rFonts w:asciiTheme="minorHAnsi" w:hAnsiTheme="minorHAnsi"/>
          <w:sz w:val="22"/>
          <w:szCs w:val="22"/>
          <w:lang w:val="es-ES_tradnl"/>
        </w:rPr>
        <w:t xml:space="preserve"> </w:t>
      </w:r>
      <w:r w:rsidRPr="008C6B8A">
        <w:rPr>
          <w:rFonts w:asciiTheme="minorHAnsi" w:hAnsiTheme="minorHAnsi"/>
          <w:sz w:val="22"/>
          <w:szCs w:val="22"/>
          <w:lang w:val="es-ES_tradnl"/>
        </w:rPr>
        <w:t>el tratamiento hormonal cruzado, el cual respetaría los deseos de la persona y favorecería su desarrollo en la transición de género.</w:t>
      </w:r>
      <w:r w:rsidR="003E6F40">
        <w:rPr>
          <w:rFonts w:asciiTheme="minorHAnsi" w:hAnsiTheme="minorHAnsi"/>
          <w:sz w:val="22"/>
          <w:szCs w:val="22"/>
          <w:lang w:val="es-ES_tradnl"/>
        </w:rPr>
        <w:t xml:space="preserve"> </w:t>
      </w:r>
      <w:r w:rsidR="00A5638E" w:rsidRPr="008C6B8A">
        <w:rPr>
          <w:rFonts w:asciiTheme="minorHAnsi" w:hAnsiTheme="minorHAnsi"/>
          <w:sz w:val="22"/>
          <w:szCs w:val="22"/>
          <w:lang w:val="es-ES_tradnl"/>
        </w:rPr>
        <w:t xml:space="preserve">Pero </w:t>
      </w:r>
      <w:r w:rsidR="004C0DF2" w:rsidRPr="008C6B8A">
        <w:rPr>
          <w:rFonts w:asciiTheme="minorHAnsi" w:hAnsiTheme="minorHAnsi"/>
          <w:sz w:val="22"/>
          <w:szCs w:val="22"/>
          <w:lang w:val="es-ES_tradnl"/>
        </w:rPr>
        <w:t>como</w:t>
      </w:r>
      <w:r w:rsidR="00A5638E" w:rsidRPr="008C6B8A">
        <w:rPr>
          <w:rFonts w:asciiTheme="minorHAnsi" w:hAnsiTheme="minorHAnsi"/>
          <w:sz w:val="22"/>
          <w:szCs w:val="22"/>
          <w:lang w:val="es-ES_tradnl"/>
        </w:rPr>
        <w:t xml:space="preserve"> contraargumento</w:t>
      </w:r>
      <w:r w:rsidRPr="008C6B8A">
        <w:rPr>
          <w:rFonts w:asciiTheme="minorHAnsi" w:hAnsiTheme="minorHAnsi"/>
          <w:sz w:val="22"/>
          <w:szCs w:val="22"/>
          <w:lang w:val="es-ES_tradnl"/>
        </w:rPr>
        <w:t xml:space="preserve"> </w:t>
      </w:r>
      <w:r w:rsidR="004C0DF2" w:rsidRPr="008C6B8A">
        <w:rPr>
          <w:rFonts w:asciiTheme="minorHAnsi" w:hAnsiTheme="minorHAnsi"/>
          <w:sz w:val="22"/>
          <w:szCs w:val="22"/>
          <w:lang w:val="es-ES_tradnl"/>
        </w:rPr>
        <w:t>está</w:t>
      </w:r>
      <w:r w:rsidRPr="008C6B8A">
        <w:rPr>
          <w:rFonts w:asciiTheme="minorHAnsi" w:hAnsiTheme="minorHAnsi"/>
          <w:sz w:val="22"/>
          <w:szCs w:val="22"/>
          <w:lang w:val="es-ES_tradnl"/>
        </w:rPr>
        <w:t xml:space="preserve"> el principio de maleficencia</w:t>
      </w:r>
      <w:r w:rsidR="008C6B8A">
        <w:rPr>
          <w:rFonts w:asciiTheme="minorHAnsi" w:hAnsiTheme="minorHAnsi"/>
          <w:sz w:val="22"/>
          <w:szCs w:val="22"/>
          <w:lang w:val="es-ES_tradnl"/>
        </w:rPr>
        <w:t>,</w:t>
      </w:r>
      <w:r w:rsidRPr="008C6B8A">
        <w:rPr>
          <w:rFonts w:asciiTheme="minorHAnsi" w:hAnsiTheme="minorHAnsi"/>
          <w:sz w:val="22"/>
          <w:szCs w:val="22"/>
          <w:lang w:val="es-ES_tradnl"/>
        </w:rPr>
        <w:t xml:space="preserve"> debido </w:t>
      </w:r>
      <w:r w:rsidR="00B34889">
        <w:rPr>
          <w:rFonts w:asciiTheme="minorHAnsi" w:hAnsiTheme="minorHAnsi"/>
          <w:sz w:val="22"/>
          <w:szCs w:val="22"/>
          <w:lang w:val="es-ES_tradnl"/>
        </w:rPr>
        <w:t xml:space="preserve">al riesgo de no </w:t>
      </w:r>
      <w:r w:rsidRPr="008C6B8A">
        <w:rPr>
          <w:rFonts w:asciiTheme="minorHAnsi" w:hAnsiTheme="minorHAnsi"/>
          <w:sz w:val="22"/>
          <w:szCs w:val="22"/>
          <w:lang w:val="es-ES_tradnl"/>
        </w:rPr>
        <w:t xml:space="preserve">persistencia en el deseo de transexualidad en alguna de estas personas. </w:t>
      </w:r>
      <w:r w:rsidR="004C0DF2" w:rsidRPr="008C6B8A">
        <w:rPr>
          <w:rFonts w:asciiTheme="minorHAnsi" w:hAnsiTheme="minorHAnsi"/>
          <w:sz w:val="22"/>
          <w:szCs w:val="22"/>
          <w:lang w:val="es-ES_tradnl"/>
        </w:rPr>
        <w:t xml:space="preserve">Otro problema añadido sería el riesgo de esterilidad </w:t>
      </w:r>
      <w:r w:rsidR="00FB013A">
        <w:rPr>
          <w:rFonts w:asciiTheme="minorHAnsi" w:hAnsiTheme="minorHAnsi"/>
          <w:sz w:val="22"/>
          <w:szCs w:val="22"/>
          <w:lang w:val="es-ES_tradnl"/>
        </w:rPr>
        <w:t>asociado a</w:t>
      </w:r>
      <w:r w:rsidR="00FB013A" w:rsidRPr="008C6B8A">
        <w:rPr>
          <w:rFonts w:asciiTheme="minorHAnsi" w:hAnsiTheme="minorHAnsi"/>
          <w:sz w:val="22"/>
          <w:szCs w:val="22"/>
          <w:lang w:val="es-ES_tradnl"/>
        </w:rPr>
        <w:t xml:space="preserve"> </w:t>
      </w:r>
      <w:r w:rsidR="004C0DF2" w:rsidRPr="008C6B8A">
        <w:rPr>
          <w:rFonts w:asciiTheme="minorHAnsi" w:hAnsiTheme="minorHAnsi"/>
          <w:sz w:val="22"/>
          <w:szCs w:val="22"/>
          <w:lang w:val="es-ES_tradnl"/>
        </w:rPr>
        <w:t>esos tratamientos.</w:t>
      </w:r>
    </w:p>
    <w:p w14:paraId="0C2F023E" w14:textId="77777777" w:rsidR="004C0DF2" w:rsidRPr="008C6B8A" w:rsidRDefault="004C0DF2" w:rsidP="00394E74">
      <w:pPr>
        <w:spacing w:afterLines="200" w:after="480" w:line="360" w:lineRule="auto"/>
        <w:jc w:val="both"/>
        <w:rPr>
          <w:rFonts w:asciiTheme="minorHAnsi" w:hAnsiTheme="minorHAnsi"/>
          <w:sz w:val="22"/>
          <w:szCs w:val="22"/>
          <w:lang w:val="es-ES_tradnl"/>
        </w:rPr>
      </w:pPr>
      <w:r w:rsidRPr="008C6B8A">
        <w:rPr>
          <w:rFonts w:asciiTheme="minorHAnsi" w:hAnsiTheme="minorHAnsi"/>
          <w:sz w:val="22"/>
          <w:szCs w:val="22"/>
          <w:lang w:val="es-ES_tradnl"/>
        </w:rPr>
        <w:t>En todo análisis crítico de transexualidad en menores debe tenerse en cuenta la edad y el desarrollo cognitivo y madurativo de la persona con disforia de género.</w:t>
      </w:r>
      <w:r w:rsidR="003E6F40">
        <w:rPr>
          <w:rFonts w:asciiTheme="minorHAnsi" w:hAnsiTheme="minorHAnsi"/>
          <w:sz w:val="22"/>
          <w:szCs w:val="22"/>
          <w:lang w:val="es-ES_tradnl"/>
        </w:rPr>
        <w:t xml:space="preserve"> </w:t>
      </w:r>
      <w:r w:rsidR="00A5638E" w:rsidRPr="008C6B8A">
        <w:rPr>
          <w:rFonts w:asciiTheme="minorHAnsi" w:hAnsiTheme="minorHAnsi"/>
          <w:sz w:val="22"/>
          <w:szCs w:val="22"/>
          <w:lang w:val="es-ES_tradnl"/>
        </w:rPr>
        <w:t xml:space="preserve"> Mientras la reversibilidad y seguridad </w:t>
      </w:r>
      <w:r w:rsidR="00FB013A">
        <w:rPr>
          <w:rFonts w:asciiTheme="minorHAnsi" w:hAnsiTheme="minorHAnsi"/>
          <w:sz w:val="22"/>
          <w:szCs w:val="22"/>
          <w:lang w:val="es-ES_tradnl"/>
        </w:rPr>
        <w:t>de la terapia hormonal</w:t>
      </w:r>
      <w:r w:rsidR="00A5638E" w:rsidRPr="008C6B8A">
        <w:rPr>
          <w:rFonts w:asciiTheme="minorHAnsi" w:hAnsiTheme="minorHAnsi"/>
          <w:sz w:val="22"/>
          <w:szCs w:val="22"/>
          <w:lang w:val="es-ES_tradnl"/>
        </w:rPr>
        <w:t xml:space="preserve"> que suprime </w:t>
      </w:r>
      <w:r w:rsidR="00FB013A">
        <w:rPr>
          <w:rFonts w:asciiTheme="minorHAnsi" w:hAnsiTheme="minorHAnsi"/>
          <w:sz w:val="22"/>
          <w:szCs w:val="22"/>
          <w:lang w:val="es-ES_tradnl"/>
        </w:rPr>
        <w:t xml:space="preserve">la </w:t>
      </w:r>
      <w:r w:rsidR="00A5638E" w:rsidRPr="008C6B8A">
        <w:rPr>
          <w:rFonts w:asciiTheme="minorHAnsi" w:hAnsiTheme="minorHAnsi"/>
          <w:sz w:val="22"/>
          <w:szCs w:val="22"/>
          <w:lang w:val="es-ES_tradnl"/>
        </w:rPr>
        <w:t xml:space="preserve">pubertad </w:t>
      </w:r>
      <w:r w:rsidR="00AA2E8B">
        <w:rPr>
          <w:rFonts w:asciiTheme="minorHAnsi" w:hAnsiTheme="minorHAnsi"/>
          <w:sz w:val="22"/>
          <w:szCs w:val="22"/>
          <w:lang w:val="es-ES_tradnl"/>
        </w:rPr>
        <w:t xml:space="preserve">justifican </w:t>
      </w:r>
      <w:r w:rsidR="00A5638E" w:rsidRPr="008C6B8A">
        <w:rPr>
          <w:rFonts w:asciiTheme="minorHAnsi" w:hAnsiTheme="minorHAnsi"/>
          <w:sz w:val="22"/>
          <w:szCs w:val="22"/>
          <w:lang w:val="es-ES_tradnl"/>
        </w:rPr>
        <w:t xml:space="preserve">el tratamiento de fase primera </w:t>
      </w:r>
      <w:r w:rsidR="00AA2E8B">
        <w:rPr>
          <w:rFonts w:asciiTheme="minorHAnsi" w:hAnsiTheme="minorHAnsi"/>
          <w:sz w:val="22"/>
          <w:szCs w:val="22"/>
          <w:lang w:val="es-ES_tradnl"/>
        </w:rPr>
        <w:t>en</w:t>
      </w:r>
      <w:r w:rsidR="00A5638E" w:rsidRPr="008C6B8A">
        <w:rPr>
          <w:rFonts w:asciiTheme="minorHAnsi" w:hAnsiTheme="minorHAnsi"/>
          <w:sz w:val="22"/>
          <w:szCs w:val="22"/>
          <w:lang w:val="es-ES_tradnl"/>
        </w:rPr>
        <w:t xml:space="preserve"> mucho</w:t>
      </w:r>
      <w:r w:rsidRPr="008C6B8A">
        <w:rPr>
          <w:rFonts w:asciiTheme="minorHAnsi" w:hAnsiTheme="minorHAnsi"/>
          <w:sz w:val="22"/>
          <w:szCs w:val="22"/>
          <w:lang w:val="es-ES_tradnl"/>
        </w:rPr>
        <w:t xml:space="preserve">s niños, la </w:t>
      </w:r>
      <w:r w:rsidR="00A5638E" w:rsidRPr="008C6B8A">
        <w:rPr>
          <w:rFonts w:asciiTheme="minorHAnsi" w:hAnsiTheme="minorHAnsi"/>
          <w:sz w:val="22"/>
          <w:szCs w:val="22"/>
          <w:lang w:val="es-ES_tradnl"/>
        </w:rPr>
        <w:t xml:space="preserve">segunda </w:t>
      </w:r>
      <w:r w:rsidRPr="008C6B8A">
        <w:rPr>
          <w:rFonts w:asciiTheme="minorHAnsi" w:hAnsiTheme="minorHAnsi"/>
          <w:sz w:val="22"/>
          <w:szCs w:val="22"/>
          <w:lang w:val="es-ES_tradnl"/>
        </w:rPr>
        <w:t>fase de</w:t>
      </w:r>
      <w:r w:rsidR="00E45E6D">
        <w:rPr>
          <w:rFonts w:asciiTheme="minorHAnsi" w:hAnsiTheme="minorHAnsi"/>
          <w:sz w:val="22"/>
          <w:szCs w:val="22"/>
          <w:lang w:val="es-ES_tradnl"/>
        </w:rPr>
        <w:t xml:space="preserve"> tratamiento </w:t>
      </w:r>
      <w:r w:rsidR="00FB013A">
        <w:rPr>
          <w:rFonts w:asciiTheme="minorHAnsi" w:hAnsiTheme="minorHAnsi"/>
          <w:sz w:val="22"/>
          <w:szCs w:val="22"/>
          <w:lang w:val="es-ES_tradnl"/>
        </w:rPr>
        <w:t xml:space="preserve">con </w:t>
      </w:r>
      <w:r w:rsidR="00E45E6D">
        <w:rPr>
          <w:rFonts w:asciiTheme="minorHAnsi" w:hAnsiTheme="minorHAnsi"/>
          <w:sz w:val="22"/>
          <w:szCs w:val="22"/>
          <w:lang w:val="es-ES_tradnl"/>
        </w:rPr>
        <w:t>terapia hormonal</w:t>
      </w:r>
      <w:r w:rsidRPr="008C6B8A">
        <w:rPr>
          <w:rFonts w:asciiTheme="minorHAnsi" w:hAnsiTheme="minorHAnsi"/>
          <w:sz w:val="22"/>
          <w:szCs w:val="22"/>
          <w:lang w:val="es-ES_tradnl"/>
        </w:rPr>
        <w:t xml:space="preserve"> cruzada (con las implicaciones de la fertilidad que conlleva) </w:t>
      </w:r>
      <w:r w:rsidR="00FB013A">
        <w:rPr>
          <w:rFonts w:asciiTheme="minorHAnsi" w:hAnsiTheme="minorHAnsi"/>
          <w:sz w:val="22"/>
          <w:szCs w:val="22"/>
          <w:lang w:val="es-ES_tradnl"/>
        </w:rPr>
        <w:t xml:space="preserve">sólo </w:t>
      </w:r>
      <w:r w:rsidRPr="008C6B8A">
        <w:rPr>
          <w:rFonts w:asciiTheme="minorHAnsi" w:hAnsiTheme="minorHAnsi"/>
          <w:sz w:val="22"/>
          <w:szCs w:val="22"/>
          <w:lang w:val="es-ES_tradnl"/>
        </w:rPr>
        <w:t xml:space="preserve">sería justificable en adolescentes con una segura persistencia de transexualidad. </w:t>
      </w:r>
    </w:p>
    <w:p w14:paraId="0275BBAD" w14:textId="77777777" w:rsidR="004C0DF2" w:rsidRPr="008C6B8A" w:rsidRDefault="004C0DF2" w:rsidP="00394E74">
      <w:pPr>
        <w:spacing w:afterLines="200" w:after="480" w:line="360" w:lineRule="auto"/>
        <w:jc w:val="both"/>
        <w:rPr>
          <w:rFonts w:asciiTheme="minorHAnsi" w:hAnsiTheme="minorHAnsi"/>
          <w:sz w:val="22"/>
          <w:szCs w:val="22"/>
          <w:lang w:val="es-ES_tradnl"/>
        </w:rPr>
      </w:pPr>
      <w:r w:rsidRPr="008C6B8A">
        <w:rPr>
          <w:rFonts w:asciiTheme="minorHAnsi" w:hAnsiTheme="minorHAnsi"/>
          <w:sz w:val="22"/>
          <w:szCs w:val="22"/>
          <w:lang w:val="es-ES_tradnl"/>
        </w:rPr>
        <w:t>Por otra p</w:t>
      </w:r>
      <w:r w:rsidR="00E45E6D">
        <w:rPr>
          <w:rFonts w:asciiTheme="minorHAnsi" w:hAnsiTheme="minorHAnsi"/>
          <w:sz w:val="22"/>
          <w:szCs w:val="22"/>
          <w:lang w:val="es-ES_tradnl"/>
        </w:rPr>
        <w:t>arte</w:t>
      </w:r>
      <w:r w:rsidR="00FB013A">
        <w:rPr>
          <w:rFonts w:asciiTheme="minorHAnsi" w:hAnsiTheme="minorHAnsi"/>
          <w:sz w:val="22"/>
          <w:szCs w:val="22"/>
          <w:lang w:val="es-ES_tradnl"/>
        </w:rPr>
        <w:t>,</w:t>
      </w:r>
      <w:r w:rsidR="00E45E6D">
        <w:rPr>
          <w:rFonts w:asciiTheme="minorHAnsi" w:hAnsiTheme="minorHAnsi"/>
          <w:sz w:val="22"/>
          <w:szCs w:val="22"/>
          <w:lang w:val="es-ES_tradnl"/>
        </w:rPr>
        <w:t xml:space="preserve"> en un análisis de situación </w:t>
      </w:r>
      <w:r w:rsidRPr="008C6B8A">
        <w:rPr>
          <w:rFonts w:asciiTheme="minorHAnsi" w:hAnsiTheme="minorHAnsi"/>
          <w:sz w:val="22"/>
          <w:szCs w:val="22"/>
          <w:lang w:val="es-ES_tradnl"/>
        </w:rPr>
        <w:t xml:space="preserve">el tratamiento hormonal </w:t>
      </w:r>
      <w:r w:rsidR="00FB013A">
        <w:rPr>
          <w:rFonts w:asciiTheme="minorHAnsi" w:hAnsiTheme="minorHAnsi"/>
          <w:sz w:val="22"/>
          <w:szCs w:val="22"/>
          <w:lang w:val="es-ES_tradnl"/>
        </w:rPr>
        <w:t>puede</w:t>
      </w:r>
      <w:r w:rsidR="00FB013A" w:rsidRPr="008C6B8A">
        <w:rPr>
          <w:rFonts w:asciiTheme="minorHAnsi" w:hAnsiTheme="minorHAnsi"/>
          <w:sz w:val="22"/>
          <w:szCs w:val="22"/>
          <w:lang w:val="es-ES_tradnl"/>
        </w:rPr>
        <w:t xml:space="preserve"> </w:t>
      </w:r>
      <w:r w:rsidRPr="008C6B8A">
        <w:rPr>
          <w:rFonts w:asciiTheme="minorHAnsi" w:hAnsiTheme="minorHAnsi"/>
          <w:sz w:val="22"/>
          <w:szCs w:val="22"/>
          <w:lang w:val="es-ES_tradnl"/>
        </w:rPr>
        <w:t xml:space="preserve">tener un efecto nocivo en personas </w:t>
      </w:r>
      <w:r w:rsidR="00FB013A">
        <w:rPr>
          <w:rFonts w:asciiTheme="minorHAnsi" w:hAnsiTheme="minorHAnsi"/>
          <w:sz w:val="22"/>
          <w:szCs w:val="22"/>
          <w:lang w:val="es-ES_tradnl"/>
        </w:rPr>
        <w:t>con</w:t>
      </w:r>
      <w:r w:rsidRPr="008C6B8A">
        <w:rPr>
          <w:rFonts w:asciiTheme="minorHAnsi" w:hAnsiTheme="minorHAnsi"/>
          <w:sz w:val="22"/>
          <w:szCs w:val="22"/>
          <w:lang w:val="es-ES_tradnl"/>
        </w:rPr>
        <w:t xml:space="preserve"> tendencia</w:t>
      </w:r>
      <w:r w:rsidR="00FB013A">
        <w:rPr>
          <w:rFonts w:asciiTheme="minorHAnsi" w:hAnsiTheme="minorHAnsi"/>
          <w:sz w:val="22"/>
          <w:szCs w:val="22"/>
          <w:lang w:val="es-ES_tradnl"/>
        </w:rPr>
        <w:t>s suicidas</w:t>
      </w:r>
      <w:r w:rsidRPr="008C6B8A">
        <w:rPr>
          <w:rFonts w:asciiTheme="minorHAnsi" w:hAnsiTheme="minorHAnsi"/>
          <w:sz w:val="22"/>
          <w:szCs w:val="22"/>
          <w:lang w:val="es-ES_tradnl"/>
        </w:rPr>
        <w:t xml:space="preserve">. </w:t>
      </w:r>
    </w:p>
    <w:p w14:paraId="79AD8355" w14:textId="77777777" w:rsidR="004C0DF2" w:rsidRPr="008C6B8A" w:rsidRDefault="00FB013A" w:rsidP="00394E74">
      <w:pPr>
        <w:spacing w:afterLines="200" w:after="480" w:line="360" w:lineRule="auto"/>
        <w:jc w:val="both"/>
        <w:rPr>
          <w:rFonts w:asciiTheme="minorHAnsi" w:hAnsiTheme="minorHAnsi"/>
          <w:sz w:val="22"/>
          <w:szCs w:val="22"/>
          <w:lang w:val="es-ES_tradnl"/>
        </w:rPr>
      </w:pPr>
      <w:r>
        <w:rPr>
          <w:rFonts w:asciiTheme="minorHAnsi" w:hAnsiTheme="minorHAnsi"/>
          <w:sz w:val="22"/>
          <w:szCs w:val="22"/>
          <w:lang w:val="es-ES_tradnl"/>
        </w:rPr>
        <w:t>Es esencial u</w:t>
      </w:r>
      <w:r w:rsidR="00A5638E" w:rsidRPr="008C6B8A">
        <w:rPr>
          <w:rFonts w:asciiTheme="minorHAnsi" w:hAnsiTheme="minorHAnsi"/>
          <w:sz w:val="22"/>
          <w:szCs w:val="22"/>
          <w:lang w:val="es-ES_tradnl"/>
        </w:rPr>
        <w:t>n acercamiento integral para asegurar el bienestar general de</w:t>
      </w:r>
      <w:r w:rsidR="004C0DF2" w:rsidRPr="008C6B8A">
        <w:rPr>
          <w:rFonts w:asciiTheme="minorHAnsi" w:hAnsiTheme="minorHAnsi"/>
          <w:sz w:val="22"/>
          <w:szCs w:val="22"/>
          <w:lang w:val="es-ES_tradnl"/>
        </w:rPr>
        <w:t xml:space="preserve"> los </w:t>
      </w:r>
      <w:r w:rsidR="00B34889">
        <w:rPr>
          <w:rFonts w:asciiTheme="minorHAnsi" w:hAnsiTheme="minorHAnsi"/>
          <w:sz w:val="22"/>
          <w:szCs w:val="22"/>
          <w:lang w:val="es-ES_tradnl"/>
        </w:rPr>
        <w:t>menores transexuales,</w:t>
      </w:r>
      <w:r w:rsidR="004C0DF2" w:rsidRPr="008C6B8A">
        <w:rPr>
          <w:rFonts w:asciiTheme="minorHAnsi" w:hAnsiTheme="minorHAnsi"/>
          <w:sz w:val="22"/>
          <w:szCs w:val="22"/>
          <w:lang w:val="es-ES_tradnl"/>
        </w:rPr>
        <w:t xml:space="preserve"> teniendo en cuenta planteamientos políticos médicos y éticos.</w:t>
      </w:r>
    </w:p>
    <w:p w14:paraId="10944986" w14:textId="77777777" w:rsidR="00FD4441" w:rsidRPr="008C6B8A" w:rsidRDefault="00FD4441" w:rsidP="00394E74">
      <w:pPr>
        <w:pStyle w:val="Propio2"/>
        <w:spacing w:afterLines="200" w:after="480"/>
      </w:pPr>
      <w:r w:rsidRPr="008C6B8A">
        <w:t xml:space="preserve">Dilemas sobre </w:t>
      </w:r>
      <w:r w:rsidR="00870931" w:rsidRPr="008C6B8A">
        <w:t>el tratamiento hormonal en menores</w:t>
      </w:r>
      <w:r w:rsidRPr="008C6B8A">
        <w:t xml:space="preserve"> </w:t>
      </w:r>
    </w:p>
    <w:p w14:paraId="23D5449E" w14:textId="77777777" w:rsidR="00FD4441" w:rsidRPr="00586DB6" w:rsidRDefault="00FD4441" w:rsidP="00394E74">
      <w:pPr>
        <w:spacing w:afterLines="200" w:after="480" w:line="360" w:lineRule="auto"/>
        <w:jc w:val="both"/>
        <w:rPr>
          <w:rFonts w:asciiTheme="minorHAnsi" w:hAnsiTheme="minorHAnsi"/>
          <w:sz w:val="22"/>
          <w:szCs w:val="22"/>
        </w:rPr>
      </w:pPr>
      <w:r w:rsidRPr="008C6B8A">
        <w:rPr>
          <w:rFonts w:asciiTheme="minorHAnsi" w:hAnsiTheme="minorHAnsi"/>
          <w:sz w:val="22"/>
          <w:szCs w:val="22"/>
        </w:rPr>
        <w:t xml:space="preserve">El tratamiento de los adolescentes con disforia de género ha recibido una variedad de </w:t>
      </w:r>
      <w:r w:rsidR="004C0DF2" w:rsidRPr="008C6B8A">
        <w:rPr>
          <w:rFonts w:asciiTheme="minorHAnsi" w:hAnsiTheme="minorHAnsi"/>
          <w:sz w:val="22"/>
          <w:szCs w:val="22"/>
        </w:rPr>
        <w:t>críticas</w:t>
      </w:r>
      <w:r w:rsidR="00586DB6">
        <w:rPr>
          <w:rStyle w:val="Refdenotaalpie"/>
          <w:rFonts w:asciiTheme="minorHAnsi" w:hAnsiTheme="minorHAnsi"/>
          <w:sz w:val="22"/>
          <w:szCs w:val="22"/>
        </w:rPr>
        <w:footnoteReference w:id="13"/>
      </w:r>
      <w:r w:rsidR="00586DB6" w:rsidRPr="00586DB6">
        <w:rPr>
          <w:rFonts w:asciiTheme="minorHAnsi" w:hAnsiTheme="minorHAnsi"/>
          <w:sz w:val="22"/>
          <w:szCs w:val="22"/>
          <w:vertAlign w:val="superscript"/>
        </w:rPr>
        <w:t>,</w:t>
      </w:r>
      <w:r w:rsidR="00586DB6">
        <w:rPr>
          <w:rStyle w:val="Refdenotaalpie"/>
          <w:rFonts w:asciiTheme="minorHAnsi" w:hAnsiTheme="minorHAnsi"/>
          <w:sz w:val="22"/>
          <w:szCs w:val="22"/>
        </w:rPr>
        <w:footnoteReference w:id="14"/>
      </w:r>
      <w:r w:rsidR="00586DB6" w:rsidRPr="00586DB6">
        <w:rPr>
          <w:rFonts w:asciiTheme="minorHAnsi" w:hAnsiTheme="minorHAnsi"/>
          <w:sz w:val="22"/>
          <w:szCs w:val="22"/>
          <w:vertAlign w:val="superscript"/>
        </w:rPr>
        <w:t>,</w:t>
      </w:r>
      <w:r w:rsidR="00586DB6">
        <w:rPr>
          <w:rStyle w:val="Refdenotaalpie"/>
          <w:rFonts w:asciiTheme="minorHAnsi" w:hAnsiTheme="minorHAnsi"/>
          <w:sz w:val="22"/>
          <w:szCs w:val="22"/>
        </w:rPr>
        <w:footnoteReference w:id="15"/>
      </w:r>
      <w:r w:rsidR="00586DB6">
        <w:rPr>
          <w:rFonts w:asciiTheme="minorHAnsi" w:hAnsiTheme="minorHAnsi"/>
          <w:i/>
          <w:sz w:val="22"/>
          <w:szCs w:val="22"/>
        </w:rPr>
        <w:t>.</w:t>
      </w:r>
    </w:p>
    <w:p w14:paraId="47B617F2" w14:textId="77777777" w:rsidR="00FD4441" w:rsidRPr="008C6B8A" w:rsidRDefault="00FD4441" w:rsidP="00394E74">
      <w:pPr>
        <w:pStyle w:val="Propio3"/>
        <w:spacing w:afterLines="200" w:after="480"/>
        <w:ind w:left="1701" w:hanging="850"/>
      </w:pPr>
      <w:r w:rsidRPr="008C6B8A">
        <w:t>Argumentos a favor</w:t>
      </w:r>
      <w:r w:rsidR="000F4EF3">
        <w:t xml:space="preserve"> del tratamiento hormonal en menores</w:t>
      </w:r>
    </w:p>
    <w:p w14:paraId="2FC181BF" w14:textId="77777777" w:rsidR="00FD4441" w:rsidRPr="00FE0C47" w:rsidRDefault="00FD4441" w:rsidP="00394E74">
      <w:pPr>
        <w:pStyle w:val="Prrafodelista"/>
        <w:numPr>
          <w:ilvl w:val="0"/>
          <w:numId w:val="21"/>
        </w:numPr>
        <w:spacing w:afterLines="200" w:after="480" w:line="360" w:lineRule="auto"/>
        <w:jc w:val="both"/>
        <w:rPr>
          <w:rFonts w:asciiTheme="minorHAnsi" w:hAnsiTheme="minorHAnsi"/>
          <w:sz w:val="22"/>
          <w:szCs w:val="22"/>
        </w:rPr>
      </w:pPr>
      <w:r w:rsidRPr="00FE0C47">
        <w:rPr>
          <w:rFonts w:asciiTheme="minorHAnsi" w:hAnsiTheme="minorHAnsi"/>
          <w:sz w:val="22"/>
          <w:szCs w:val="22"/>
        </w:rPr>
        <w:t xml:space="preserve">Retrasar el comienzo del tratamiento hormonal hasta la mayoría de edad legal tiene desventajas psicológicas y aumenta la probabilidad de comportamientos de riesgo. </w:t>
      </w:r>
    </w:p>
    <w:p w14:paraId="2D9B4644" w14:textId="77777777" w:rsidR="00FD4441" w:rsidRPr="00FE0C47" w:rsidRDefault="00FD4441" w:rsidP="00394E74">
      <w:pPr>
        <w:pStyle w:val="Prrafodelista"/>
        <w:numPr>
          <w:ilvl w:val="0"/>
          <w:numId w:val="21"/>
        </w:numPr>
        <w:spacing w:afterLines="200" w:after="480" w:line="360" w:lineRule="auto"/>
        <w:jc w:val="both"/>
        <w:rPr>
          <w:rFonts w:asciiTheme="minorHAnsi" w:hAnsiTheme="minorHAnsi"/>
          <w:sz w:val="22"/>
          <w:szCs w:val="22"/>
        </w:rPr>
      </w:pPr>
      <w:r w:rsidRPr="00FE0C47">
        <w:rPr>
          <w:rFonts w:asciiTheme="minorHAnsi" w:hAnsiTheme="minorHAnsi"/>
          <w:sz w:val="22"/>
          <w:szCs w:val="22"/>
        </w:rPr>
        <w:t xml:space="preserve">La supresión puberal mejora la precisión diagnóstica al proporcionar más tiempo para explorar la identidad sexual y de género sin tener la angustia de la presencia de los caracteres sexuales secundarios que se van desarrollando. </w:t>
      </w:r>
    </w:p>
    <w:p w14:paraId="38E37C4A" w14:textId="77777777" w:rsidR="00FD4441" w:rsidRPr="00FE0C47" w:rsidRDefault="00FD4441" w:rsidP="00394E74">
      <w:pPr>
        <w:pStyle w:val="Prrafodelista"/>
        <w:numPr>
          <w:ilvl w:val="0"/>
          <w:numId w:val="21"/>
        </w:numPr>
        <w:spacing w:afterLines="200" w:after="480" w:line="360" w:lineRule="auto"/>
        <w:jc w:val="both"/>
        <w:rPr>
          <w:rFonts w:asciiTheme="minorHAnsi" w:hAnsiTheme="minorHAnsi"/>
          <w:sz w:val="22"/>
          <w:szCs w:val="22"/>
        </w:rPr>
      </w:pPr>
      <w:r w:rsidRPr="00FE0C47">
        <w:rPr>
          <w:rFonts w:asciiTheme="minorHAnsi" w:hAnsiTheme="minorHAnsi"/>
          <w:sz w:val="22"/>
          <w:szCs w:val="22"/>
        </w:rPr>
        <w:t>Se elimina el desarrollo de caracteres sexuales no deseados</w:t>
      </w:r>
      <w:r w:rsidR="003E6F40">
        <w:rPr>
          <w:rFonts w:asciiTheme="minorHAnsi" w:hAnsiTheme="minorHAnsi"/>
          <w:sz w:val="22"/>
          <w:szCs w:val="22"/>
        </w:rPr>
        <w:t>.</w:t>
      </w:r>
      <w:r w:rsidRPr="00FE0C47">
        <w:rPr>
          <w:rFonts w:asciiTheme="minorHAnsi" w:hAnsiTheme="minorHAnsi"/>
          <w:sz w:val="22"/>
          <w:szCs w:val="22"/>
        </w:rPr>
        <w:t xml:space="preserve"> </w:t>
      </w:r>
    </w:p>
    <w:p w14:paraId="0A23F7B5" w14:textId="77777777" w:rsidR="00FD4441" w:rsidRPr="00863F1D" w:rsidRDefault="00FD4441" w:rsidP="00394E74">
      <w:pPr>
        <w:pStyle w:val="Prrafodelista"/>
        <w:numPr>
          <w:ilvl w:val="0"/>
          <w:numId w:val="21"/>
        </w:numPr>
        <w:spacing w:afterLines="200" w:after="480" w:line="360" w:lineRule="auto"/>
        <w:jc w:val="both"/>
        <w:rPr>
          <w:rFonts w:asciiTheme="minorHAnsi" w:hAnsiTheme="minorHAnsi"/>
          <w:sz w:val="22"/>
          <w:szCs w:val="22"/>
        </w:rPr>
      </w:pPr>
      <w:r w:rsidRPr="00FE0C47">
        <w:rPr>
          <w:rFonts w:asciiTheme="minorHAnsi" w:hAnsiTheme="minorHAnsi"/>
          <w:sz w:val="22"/>
          <w:szCs w:val="22"/>
        </w:rPr>
        <w:t>Probablemente ayudará a que las cirugías que se lleven a cabo sean menos invasivas</w:t>
      </w:r>
      <w:r w:rsidR="003E6F40">
        <w:rPr>
          <w:rFonts w:asciiTheme="minorHAnsi" w:hAnsiTheme="minorHAnsi"/>
          <w:sz w:val="22"/>
          <w:szCs w:val="22"/>
        </w:rPr>
        <w:t>.</w:t>
      </w:r>
      <w:r w:rsidRPr="00FE0C47">
        <w:rPr>
          <w:rFonts w:asciiTheme="minorHAnsi" w:hAnsiTheme="minorHAnsi"/>
          <w:sz w:val="22"/>
          <w:szCs w:val="22"/>
        </w:rPr>
        <w:t xml:space="preserve"> </w:t>
      </w:r>
    </w:p>
    <w:p w14:paraId="20E27F8C" w14:textId="77777777" w:rsidR="00FD4441" w:rsidRPr="008C6B8A" w:rsidRDefault="00FD4441" w:rsidP="00394E74">
      <w:pPr>
        <w:pStyle w:val="Propio3"/>
        <w:spacing w:afterLines="200" w:after="480"/>
        <w:ind w:left="1701" w:hanging="850"/>
      </w:pPr>
      <w:r w:rsidRPr="008C6B8A">
        <w:t>Ar</w:t>
      </w:r>
      <w:r w:rsidR="000F4EF3">
        <w:t>gumentos en contra del tratamiento hormonal en menores</w:t>
      </w:r>
    </w:p>
    <w:p w14:paraId="2C43D874" w14:textId="77777777" w:rsidR="00FD4441" w:rsidRPr="00FE0C47" w:rsidRDefault="00AA2E8B" w:rsidP="00394E74">
      <w:pPr>
        <w:pStyle w:val="Prrafodelista"/>
        <w:numPr>
          <w:ilvl w:val="0"/>
          <w:numId w:val="23"/>
        </w:numPr>
        <w:spacing w:afterLines="200" w:after="480" w:line="360" w:lineRule="auto"/>
        <w:jc w:val="both"/>
        <w:rPr>
          <w:rFonts w:asciiTheme="minorHAnsi" w:hAnsiTheme="minorHAnsi"/>
          <w:sz w:val="22"/>
          <w:szCs w:val="22"/>
        </w:rPr>
      </w:pPr>
      <w:r w:rsidRPr="00FE0C47">
        <w:rPr>
          <w:rFonts w:asciiTheme="minorHAnsi" w:hAnsiTheme="minorHAnsi"/>
          <w:sz w:val="22"/>
          <w:szCs w:val="22"/>
        </w:rPr>
        <w:t>No debería realzarse un</w:t>
      </w:r>
      <w:r w:rsidR="00FD4441" w:rsidRPr="00FE0C47">
        <w:rPr>
          <w:rFonts w:asciiTheme="minorHAnsi" w:hAnsiTheme="minorHAnsi"/>
          <w:sz w:val="22"/>
          <w:szCs w:val="22"/>
        </w:rPr>
        <w:t xml:space="preserve"> diagnóstico de disforia de género en adolescentes debido a que </w:t>
      </w:r>
      <w:r w:rsidR="002275D9" w:rsidRPr="00FE0C47">
        <w:rPr>
          <w:rFonts w:asciiTheme="minorHAnsi" w:hAnsiTheme="minorHAnsi"/>
          <w:sz w:val="22"/>
          <w:szCs w:val="22"/>
        </w:rPr>
        <w:t xml:space="preserve">su </w:t>
      </w:r>
      <w:r w:rsidR="00FD4441" w:rsidRPr="00FE0C47">
        <w:rPr>
          <w:rFonts w:asciiTheme="minorHAnsi" w:hAnsiTheme="minorHAnsi"/>
          <w:sz w:val="22"/>
          <w:szCs w:val="22"/>
        </w:rPr>
        <w:t xml:space="preserve">identidad </w:t>
      </w:r>
      <w:r w:rsidRPr="00FE0C47">
        <w:rPr>
          <w:rFonts w:asciiTheme="minorHAnsi" w:hAnsiTheme="minorHAnsi"/>
          <w:sz w:val="22"/>
          <w:szCs w:val="22"/>
        </w:rPr>
        <w:t xml:space="preserve">puede </w:t>
      </w:r>
      <w:r w:rsidR="00FD4441" w:rsidRPr="00FE0C47">
        <w:rPr>
          <w:rFonts w:asciiTheme="minorHAnsi" w:hAnsiTheme="minorHAnsi"/>
          <w:sz w:val="22"/>
          <w:szCs w:val="22"/>
        </w:rPr>
        <w:t>fluctuar durante la adolescencia.</w:t>
      </w:r>
    </w:p>
    <w:p w14:paraId="41D3B5A1" w14:textId="77777777" w:rsidR="00FD4441" w:rsidRPr="00FE0C47" w:rsidRDefault="00AA2E8B" w:rsidP="00394E74">
      <w:pPr>
        <w:pStyle w:val="Prrafodelista"/>
        <w:numPr>
          <w:ilvl w:val="0"/>
          <w:numId w:val="23"/>
        </w:numPr>
        <w:spacing w:afterLines="200" w:after="480" w:line="360" w:lineRule="auto"/>
        <w:jc w:val="both"/>
        <w:rPr>
          <w:rFonts w:asciiTheme="minorHAnsi" w:hAnsiTheme="minorHAnsi"/>
          <w:sz w:val="22"/>
          <w:szCs w:val="22"/>
        </w:rPr>
      </w:pPr>
      <w:r w:rsidRPr="00FE0C47">
        <w:rPr>
          <w:rFonts w:asciiTheme="minorHAnsi" w:hAnsiTheme="minorHAnsi"/>
          <w:sz w:val="22"/>
          <w:szCs w:val="22"/>
        </w:rPr>
        <w:t>E</w:t>
      </w:r>
      <w:r w:rsidR="002275D9" w:rsidRPr="00FE0C47">
        <w:rPr>
          <w:rFonts w:asciiTheme="minorHAnsi" w:hAnsiTheme="minorHAnsi"/>
          <w:sz w:val="22"/>
          <w:szCs w:val="22"/>
        </w:rPr>
        <w:t>vita</w:t>
      </w:r>
      <w:r w:rsidRPr="00FE0C47">
        <w:rPr>
          <w:rFonts w:asciiTheme="minorHAnsi" w:hAnsiTheme="minorHAnsi"/>
          <w:sz w:val="22"/>
          <w:szCs w:val="22"/>
        </w:rPr>
        <w:t>r</w:t>
      </w:r>
      <w:r w:rsidR="002275D9" w:rsidRPr="00FE0C47">
        <w:rPr>
          <w:rFonts w:asciiTheme="minorHAnsi" w:hAnsiTheme="minorHAnsi"/>
          <w:sz w:val="22"/>
          <w:szCs w:val="22"/>
        </w:rPr>
        <w:t xml:space="preserve"> la aparición</w:t>
      </w:r>
      <w:r w:rsidR="00FD4441" w:rsidRPr="00FE0C47">
        <w:rPr>
          <w:rFonts w:asciiTheme="minorHAnsi" w:hAnsiTheme="minorHAnsi"/>
          <w:sz w:val="22"/>
          <w:szCs w:val="22"/>
        </w:rPr>
        <w:t xml:space="preserve"> de los caracteres sexuales secundarios podría </w:t>
      </w:r>
      <w:r w:rsidR="002275D9" w:rsidRPr="00FE0C47">
        <w:rPr>
          <w:rFonts w:asciiTheme="minorHAnsi" w:hAnsiTheme="minorHAnsi"/>
          <w:sz w:val="22"/>
          <w:szCs w:val="22"/>
        </w:rPr>
        <w:t>afectar la</w:t>
      </w:r>
      <w:r w:rsidR="00FD4441" w:rsidRPr="00FE0C47">
        <w:rPr>
          <w:rFonts w:asciiTheme="minorHAnsi" w:hAnsiTheme="minorHAnsi"/>
          <w:sz w:val="22"/>
          <w:szCs w:val="22"/>
        </w:rPr>
        <w:t xml:space="preserve"> formación espontánea de su identidad</w:t>
      </w:r>
      <w:r w:rsidR="003E6F40">
        <w:rPr>
          <w:rFonts w:asciiTheme="minorHAnsi" w:hAnsiTheme="minorHAnsi"/>
          <w:sz w:val="22"/>
          <w:szCs w:val="22"/>
        </w:rPr>
        <w:t>.</w:t>
      </w:r>
      <w:r w:rsidR="00FD4441" w:rsidRPr="00FE0C47">
        <w:rPr>
          <w:rFonts w:asciiTheme="minorHAnsi" w:hAnsiTheme="minorHAnsi"/>
          <w:sz w:val="22"/>
          <w:szCs w:val="22"/>
        </w:rPr>
        <w:t xml:space="preserve"> </w:t>
      </w:r>
    </w:p>
    <w:p w14:paraId="71EBB302" w14:textId="77777777" w:rsidR="00FD4441" w:rsidRPr="00FE0C47" w:rsidRDefault="002275D9" w:rsidP="00394E74">
      <w:pPr>
        <w:pStyle w:val="Prrafodelista"/>
        <w:numPr>
          <w:ilvl w:val="0"/>
          <w:numId w:val="23"/>
        </w:numPr>
        <w:spacing w:afterLines="200" w:after="480" w:line="360" w:lineRule="auto"/>
        <w:jc w:val="both"/>
        <w:rPr>
          <w:rFonts w:asciiTheme="minorHAnsi" w:hAnsiTheme="minorHAnsi"/>
          <w:sz w:val="22"/>
          <w:szCs w:val="22"/>
        </w:rPr>
      </w:pPr>
      <w:r w:rsidRPr="00FE0C47">
        <w:rPr>
          <w:rFonts w:asciiTheme="minorHAnsi" w:hAnsiTheme="minorHAnsi"/>
          <w:sz w:val="22"/>
          <w:szCs w:val="22"/>
        </w:rPr>
        <w:t>Existen</w:t>
      </w:r>
      <w:r w:rsidR="00FD4441" w:rsidRPr="00FE0C47">
        <w:rPr>
          <w:rFonts w:asciiTheme="minorHAnsi" w:hAnsiTheme="minorHAnsi"/>
          <w:sz w:val="22"/>
          <w:szCs w:val="22"/>
        </w:rPr>
        <w:t xml:space="preserve"> preocupaciones sobre riesgos en la salud </w:t>
      </w:r>
      <w:r w:rsidRPr="00FE0C47">
        <w:rPr>
          <w:rFonts w:asciiTheme="minorHAnsi" w:hAnsiTheme="minorHAnsi"/>
          <w:sz w:val="22"/>
          <w:szCs w:val="22"/>
        </w:rPr>
        <w:t>derivados d</w:t>
      </w:r>
      <w:r w:rsidR="00FD4441" w:rsidRPr="00FE0C47">
        <w:rPr>
          <w:rFonts w:asciiTheme="minorHAnsi" w:hAnsiTheme="minorHAnsi"/>
          <w:sz w:val="22"/>
          <w:szCs w:val="22"/>
        </w:rPr>
        <w:t>el desarrollo de la masa ósea, la altura corporal.</w:t>
      </w:r>
    </w:p>
    <w:p w14:paraId="7A3F458A" w14:textId="77777777" w:rsidR="004C0DF2" w:rsidRPr="00394E74" w:rsidRDefault="00FD4441" w:rsidP="00394E74">
      <w:pPr>
        <w:pStyle w:val="Prrafodelista"/>
        <w:numPr>
          <w:ilvl w:val="0"/>
          <w:numId w:val="23"/>
        </w:numPr>
        <w:spacing w:afterLines="200" w:after="480" w:line="360" w:lineRule="auto"/>
        <w:jc w:val="both"/>
        <w:rPr>
          <w:rFonts w:asciiTheme="minorHAnsi" w:hAnsiTheme="minorHAnsi"/>
          <w:sz w:val="22"/>
          <w:szCs w:val="22"/>
        </w:rPr>
      </w:pPr>
      <w:r w:rsidRPr="00FE0C47">
        <w:rPr>
          <w:rFonts w:asciiTheme="minorHAnsi" w:hAnsiTheme="minorHAnsi"/>
          <w:sz w:val="22"/>
          <w:szCs w:val="22"/>
        </w:rPr>
        <w:t xml:space="preserve">Los efectos de la supresión de las hormonas de la pubertad sobre el desarrollo cerebral </w:t>
      </w:r>
      <w:r w:rsidR="002275D9" w:rsidRPr="00FE0C47">
        <w:rPr>
          <w:rFonts w:asciiTheme="minorHAnsi" w:hAnsiTheme="minorHAnsi"/>
          <w:sz w:val="22"/>
          <w:szCs w:val="22"/>
        </w:rPr>
        <w:t xml:space="preserve">son </w:t>
      </w:r>
      <w:r w:rsidRPr="00FE0C47">
        <w:rPr>
          <w:rFonts w:asciiTheme="minorHAnsi" w:hAnsiTheme="minorHAnsi"/>
          <w:sz w:val="22"/>
          <w:szCs w:val="22"/>
        </w:rPr>
        <w:t>actualmente desconocidos.</w:t>
      </w:r>
    </w:p>
    <w:tbl>
      <w:tblPr>
        <w:tblStyle w:val="Tablaconcuadrcula"/>
        <w:tblW w:w="0" w:type="auto"/>
        <w:tblLook w:val="04A0" w:firstRow="1" w:lastRow="0" w:firstColumn="1" w:lastColumn="0" w:noHBand="0" w:noVBand="1"/>
      </w:tblPr>
      <w:tblGrid>
        <w:gridCol w:w="8494"/>
      </w:tblGrid>
      <w:tr w:rsidR="004C0DF2" w:rsidRPr="008C6B8A" w14:paraId="67083DA5" w14:textId="77777777" w:rsidTr="00FE0C47">
        <w:trPr>
          <w:trHeight w:val="488"/>
        </w:trPr>
        <w:tc>
          <w:tcPr>
            <w:tcW w:w="8494" w:type="dxa"/>
          </w:tcPr>
          <w:p w14:paraId="685BBC09" w14:textId="77777777" w:rsidR="007023D3" w:rsidRPr="00E45E6D" w:rsidRDefault="007023D3" w:rsidP="00394E74">
            <w:pPr>
              <w:spacing w:afterLines="200" w:after="480" w:line="360" w:lineRule="auto"/>
              <w:jc w:val="both"/>
              <w:rPr>
                <w:rFonts w:asciiTheme="minorHAnsi" w:hAnsiTheme="minorHAnsi"/>
                <w:i/>
                <w:sz w:val="22"/>
                <w:szCs w:val="22"/>
                <w:lang w:val="es-ES_tradnl"/>
              </w:rPr>
            </w:pPr>
            <w:proofErr w:type="gramStart"/>
            <w:r w:rsidRPr="00E45E6D">
              <w:rPr>
                <w:rFonts w:asciiTheme="minorHAnsi" w:hAnsiTheme="minorHAnsi"/>
                <w:i/>
                <w:sz w:val="22"/>
                <w:szCs w:val="22"/>
                <w:lang w:val="es-ES_tradnl"/>
              </w:rPr>
              <w:t xml:space="preserve">En relación </w:t>
            </w:r>
            <w:r w:rsidR="00AA2E8B">
              <w:rPr>
                <w:rFonts w:asciiTheme="minorHAnsi" w:hAnsiTheme="minorHAnsi"/>
                <w:i/>
                <w:sz w:val="22"/>
                <w:szCs w:val="22"/>
                <w:lang w:val="es-ES_tradnl"/>
              </w:rPr>
              <w:t>a</w:t>
            </w:r>
            <w:proofErr w:type="gramEnd"/>
            <w:r w:rsidR="00AA2E8B">
              <w:rPr>
                <w:rFonts w:asciiTheme="minorHAnsi" w:hAnsiTheme="minorHAnsi"/>
                <w:i/>
                <w:sz w:val="22"/>
                <w:szCs w:val="22"/>
                <w:lang w:val="es-ES_tradnl"/>
              </w:rPr>
              <w:t xml:space="preserve"> la</w:t>
            </w:r>
            <w:r w:rsidRPr="00E45E6D">
              <w:rPr>
                <w:rFonts w:asciiTheme="minorHAnsi" w:hAnsiTheme="minorHAnsi"/>
                <w:i/>
                <w:sz w:val="22"/>
                <w:szCs w:val="22"/>
                <w:lang w:val="es-ES_tradnl"/>
              </w:rPr>
              <w:t xml:space="preserve"> </w:t>
            </w:r>
            <w:r w:rsidR="001B2753">
              <w:rPr>
                <w:rFonts w:asciiTheme="minorHAnsi" w:hAnsiTheme="minorHAnsi"/>
                <w:i/>
                <w:sz w:val="22"/>
                <w:szCs w:val="22"/>
                <w:lang w:val="es-ES_tradnl"/>
              </w:rPr>
              <w:t xml:space="preserve">proposición de ley </w:t>
            </w:r>
            <w:r w:rsidRPr="00E45E6D">
              <w:rPr>
                <w:rFonts w:asciiTheme="minorHAnsi" w:hAnsiTheme="minorHAnsi"/>
                <w:i/>
                <w:sz w:val="22"/>
                <w:szCs w:val="22"/>
                <w:lang w:val="es-ES_tradnl"/>
              </w:rPr>
              <w:t>cabria realizar los siguientes comentarios:</w:t>
            </w:r>
          </w:p>
          <w:p w14:paraId="22499DAE" w14:textId="77777777" w:rsidR="003B23EE" w:rsidRDefault="004C0DF2" w:rsidP="00394E74">
            <w:pPr>
              <w:pStyle w:val="Prrafodelista"/>
              <w:numPr>
                <w:ilvl w:val="0"/>
                <w:numId w:val="15"/>
              </w:numPr>
              <w:spacing w:afterLines="200" w:after="480" w:line="360" w:lineRule="auto"/>
              <w:jc w:val="both"/>
              <w:rPr>
                <w:rFonts w:asciiTheme="minorHAnsi" w:hAnsiTheme="minorHAnsi"/>
                <w:i/>
                <w:sz w:val="22"/>
                <w:szCs w:val="22"/>
                <w:lang w:val="es-ES_tradnl"/>
              </w:rPr>
            </w:pPr>
            <w:r w:rsidRPr="00E45E6D">
              <w:rPr>
                <w:rFonts w:asciiTheme="minorHAnsi" w:hAnsiTheme="minorHAnsi"/>
                <w:i/>
                <w:sz w:val="22"/>
                <w:szCs w:val="22"/>
                <w:lang w:val="es-ES_tradnl"/>
              </w:rPr>
              <w:t>Sigue siendo aún controvertido el hecho de realizar tratamientos hormonales en personas transexuales menores de edad.</w:t>
            </w:r>
          </w:p>
          <w:p w14:paraId="7D32F213" w14:textId="77777777" w:rsidR="003B23EE" w:rsidRDefault="004C0DF2" w:rsidP="00394E74">
            <w:pPr>
              <w:pStyle w:val="Prrafodelista"/>
              <w:numPr>
                <w:ilvl w:val="0"/>
                <w:numId w:val="15"/>
              </w:numPr>
              <w:spacing w:afterLines="200" w:after="480" w:line="360" w:lineRule="auto"/>
              <w:jc w:val="both"/>
              <w:rPr>
                <w:rFonts w:asciiTheme="minorHAnsi" w:hAnsiTheme="minorHAnsi"/>
                <w:i/>
                <w:sz w:val="22"/>
                <w:szCs w:val="22"/>
                <w:lang w:val="es-ES_tradnl"/>
              </w:rPr>
            </w:pPr>
            <w:r w:rsidRPr="00E45E6D">
              <w:rPr>
                <w:rFonts w:asciiTheme="minorHAnsi" w:hAnsiTheme="minorHAnsi"/>
                <w:i/>
                <w:sz w:val="22"/>
                <w:szCs w:val="22"/>
                <w:lang w:val="es-ES_tradnl"/>
              </w:rPr>
              <w:t xml:space="preserve"> </w:t>
            </w:r>
            <w:r w:rsidR="00AA2E8B">
              <w:rPr>
                <w:rFonts w:asciiTheme="minorHAnsi" w:hAnsiTheme="minorHAnsi"/>
                <w:i/>
                <w:sz w:val="22"/>
                <w:szCs w:val="22"/>
                <w:lang w:val="es-ES_tradnl"/>
              </w:rPr>
              <w:t>El</w:t>
            </w:r>
            <w:r w:rsidRPr="00E45E6D">
              <w:rPr>
                <w:rFonts w:asciiTheme="minorHAnsi" w:hAnsiTheme="minorHAnsi"/>
                <w:i/>
                <w:sz w:val="22"/>
                <w:szCs w:val="22"/>
                <w:lang w:val="es-ES_tradnl"/>
              </w:rPr>
              <w:t xml:space="preserve"> </w:t>
            </w:r>
            <w:r w:rsidR="00AF44F0" w:rsidRPr="00E45E6D">
              <w:rPr>
                <w:rFonts w:asciiTheme="minorHAnsi" w:hAnsiTheme="minorHAnsi"/>
                <w:i/>
                <w:sz w:val="22"/>
                <w:szCs w:val="22"/>
                <w:lang w:val="es-ES_tradnl"/>
              </w:rPr>
              <w:t>Artículo</w:t>
            </w:r>
            <w:r w:rsidRPr="00E45E6D">
              <w:rPr>
                <w:rFonts w:asciiTheme="minorHAnsi" w:hAnsiTheme="minorHAnsi"/>
                <w:i/>
                <w:sz w:val="22"/>
                <w:szCs w:val="22"/>
                <w:lang w:val="es-ES_tradnl"/>
              </w:rPr>
              <w:t xml:space="preserve"> 19 de la Ley 2/2014, de 8 de julio, </w:t>
            </w:r>
            <w:r w:rsidR="00AA2E8B">
              <w:rPr>
                <w:rFonts w:asciiTheme="minorHAnsi" w:hAnsiTheme="minorHAnsi"/>
                <w:i/>
                <w:sz w:val="22"/>
                <w:szCs w:val="22"/>
                <w:lang w:val="es-ES_tradnl"/>
              </w:rPr>
              <w:t>señala</w:t>
            </w:r>
            <w:r w:rsidRPr="00E45E6D">
              <w:rPr>
                <w:rFonts w:asciiTheme="minorHAnsi" w:hAnsiTheme="minorHAnsi"/>
                <w:i/>
                <w:sz w:val="22"/>
                <w:szCs w:val="22"/>
                <w:lang w:val="es-ES_tradnl"/>
              </w:rPr>
              <w:t xml:space="preserve"> </w:t>
            </w:r>
            <w:r w:rsidR="00AA2E8B">
              <w:rPr>
                <w:rFonts w:asciiTheme="minorHAnsi" w:hAnsiTheme="minorHAnsi"/>
                <w:i/>
                <w:sz w:val="22"/>
                <w:szCs w:val="22"/>
                <w:lang w:val="es-ES_tradnl"/>
              </w:rPr>
              <w:t>que</w:t>
            </w:r>
            <w:r w:rsidRPr="00E45E6D">
              <w:rPr>
                <w:rFonts w:asciiTheme="minorHAnsi" w:hAnsiTheme="minorHAnsi"/>
                <w:i/>
                <w:sz w:val="22"/>
                <w:szCs w:val="22"/>
                <w:lang w:val="es-ES_tradnl"/>
              </w:rPr>
              <w:t>: “Los menores incluidos en el ámbito de aplicación de la presente Ley tienen pleno derecho a recibir la atención sanitaria necesaria para garantizar el desarrollo equilibrado y saludable de su identidad de  género, con especial atención en la etapa de la pubertad, de conformidad con las recomendaciones médicas  internacionales en materia de transexualidad, que en todo caso han de ser compatibles con los principios inspiradores  de esta Ley”. Por tanto</w:t>
            </w:r>
            <w:r w:rsidR="00AA2E8B">
              <w:rPr>
                <w:rFonts w:asciiTheme="minorHAnsi" w:hAnsiTheme="minorHAnsi"/>
                <w:i/>
                <w:sz w:val="22"/>
                <w:szCs w:val="22"/>
                <w:lang w:val="es-ES_tradnl"/>
              </w:rPr>
              <w:t>,</w:t>
            </w:r>
            <w:r w:rsidRPr="00E45E6D">
              <w:rPr>
                <w:rFonts w:asciiTheme="minorHAnsi" w:hAnsiTheme="minorHAnsi"/>
                <w:i/>
                <w:sz w:val="22"/>
                <w:szCs w:val="22"/>
                <w:lang w:val="es-ES_tradnl"/>
              </w:rPr>
              <w:t xml:space="preserve"> en nuestra normativa vigente no existe </w:t>
            </w:r>
            <w:r w:rsidR="000F4EF3">
              <w:rPr>
                <w:rFonts w:asciiTheme="minorHAnsi" w:hAnsiTheme="minorHAnsi"/>
                <w:i/>
                <w:sz w:val="22"/>
                <w:szCs w:val="22"/>
                <w:lang w:val="es-ES_tradnl"/>
              </w:rPr>
              <w:t xml:space="preserve">actualmente una promoción ni </w:t>
            </w:r>
            <w:r w:rsidRPr="00E45E6D">
              <w:rPr>
                <w:rFonts w:asciiTheme="minorHAnsi" w:hAnsiTheme="minorHAnsi"/>
                <w:i/>
                <w:sz w:val="22"/>
                <w:szCs w:val="22"/>
                <w:lang w:val="es-ES_tradnl"/>
              </w:rPr>
              <w:t xml:space="preserve">una prohibición de la realización de tratamientos hormonales en personas menores transexuales. </w:t>
            </w:r>
            <w:r w:rsidR="00AA2E8B">
              <w:rPr>
                <w:rFonts w:asciiTheme="minorHAnsi" w:hAnsiTheme="minorHAnsi"/>
                <w:i/>
                <w:sz w:val="22"/>
                <w:szCs w:val="22"/>
                <w:lang w:val="es-ES_tradnl"/>
              </w:rPr>
              <w:t>No obstante,</w:t>
            </w:r>
            <w:r w:rsidR="00AA2E8B" w:rsidRPr="00E45E6D">
              <w:rPr>
                <w:rFonts w:asciiTheme="minorHAnsi" w:hAnsiTheme="minorHAnsi"/>
                <w:i/>
                <w:sz w:val="22"/>
                <w:szCs w:val="22"/>
                <w:lang w:val="es-ES_tradnl"/>
              </w:rPr>
              <w:t xml:space="preserve"> </w:t>
            </w:r>
            <w:r w:rsidR="00AA2E8B">
              <w:rPr>
                <w:rFonts w:asciiTheme="minorHAnsi" w:hAnsiTheme="minorHAnsi"/>
                <w:i/>
                <w:sz w:val="22"/>
                <w:szCs w:val="22"/>
                <w:lang w:val="es-ES_tradnl"/>
              </w:rPr>
              <w:t>tampoco</w:t>
            </w:r>
            <w:r w:rsidRPr="00E45E6D">
              <w:rPr>
                <w:rFonts w:asciiTheme="minorHAnsi" w:hAnsiTheme="minorHAnsi"/>
                <w:i/>
                <w:sz w:val="22"/>
                <w:szCs w:val="22"/>
                <w:lang w:val="es-ES_tradnl"/>
              </w:rPr>
              <w:t xml:space="preserve"> se </w:t>
            </w:r>
            <w:r w:rsidR="00AA2E8B">
              <w:rPr>
                <w:rFonts w:asciiTheme="minorHAnsi" w:hAnsiTheme="minorHAnsi"/>
                <w:i/>
                <w:sz w:val="22"/>
                <w:szCs w:val="22"/>
                <w:lang w:val="es-ES_tradnl"/>
              </w:rPr>
              <w:t>mencionan</w:t>
            </w:r>
            <w:r w:rsidRPr="00E45E6D">
              <w:rPr>
                <w:rFonts w:asciiTheme="minorHAnsi" w:hAnsiTheme="minorHAnsi"/>
                <w:i/>
                <w:sz w:val="22"/>
                <w:szCs w:val="22"/>
                <w:lang w:val="es-ES_tradnl"/>
              </w:rPr>
              <w:t xml:space="preserve"> los tratamientos específicos dirigidos a conseguir la transexualidad en menores sino sólo una referencia genérica</w:t>
            </w:r>
            <w:r w:rsidR="007023D3" w:rsidRPr="00E45E6D">
              <w:rPr>
                <w:rFonts w:asciiTheme="minorHAnsi" w:hAnsiTheme="minorHAnsi"/>
                <w:i/>
                <w:sz w:val="22"/>
                <w:szCs w:val="22"/>
                <w:lang w:val="es-ES_tradnl"/>
              </w:rPr>
              <w:t xml:space="preserve"> al “desarrollo equilibrado y saludable de la identidad de género”.</w:t>
            </w:r>
          </w:p>
          <w:p w14:paraId="267DC940" w14:textId="4E64652D" w:rsidR="003B23EE" w:rsidRDefault="007023D3" w:rsidP="00394E74">
            <w:pPr>
              <w:pStyle w:val="Prrafodelista"/>
              <w:numPr>
                <w:ilvl w:val="0"/>
                <w:numId w:val="15"/>
              </w:numPr>
              <w:spacing w:afterLines="200" w:after="480" w:line="360" w:lineRule="auto"/>
              <w:jc w:val="both"/>
              <w:rPr>
                <w:rFonts w:asciiTheme="minorHAnsi" w:hAnsiTheme="minorHAnsi"/>
                <w:i/>
                <w:sz w:val="22"/>
                <w:szCs w:val="22"/>
                <w:lang w:val="es-ES_tradnl"/>
              </w:rPr>
            </w:pPr>
            <w:r w:rsidRPr="00E45E6D">
              <w:rPr>
                <w:rFonts w:asciiTheme="minorHAnsi" w:hAnsiTheme="minorHAnsi"/>
                <w:i/>
                <w:sz w:val="22"/>
                <w:szCs w:val="22"/>
                <w:lang w:val="es-ES_tradnl"/>
              </w:rPr>
              <w:t>Por ello</w:t>
            </w:r>
            <w:r w:rsidR="002275D9">
              <w:rPr>
                <w:rFonts w:asciiTheme="minorHAnsi" w:hAnsiTheme="minorHAnsi"/>
                <w:i/>
                <w:sz w:val="22"/>
                <w:szCs w:val="22"/>
                <w:lang w:val="es-ES_tradnl"/>
              </w:rPr>
              <w:t>,</w:t>
            </w:r>
            <w:r w:rsidRPr="00E45E6D">
              <w:rPr>
                <w:rFonts w:asciiTheme="minorHAnsi" w:hAnsiTheme="minorHAnsi"/>
                <w:i/>
                <w:sz w:val="22"/>
                <w:szCs w:val="22"/>
                <w:lang w:val="es-ES_tradnl"/>
              </w:rPr>
              <w:t xml:space="preserve"> </w:t>
            </w:r>
            <w:r w:rsidR="002275D9">
              <w:rPr>
                <w:rFonts w:asciiTheme="minorHAnsi" w:hAnsiTheme="minorHAnsi"/>
                <w:i/>
                <w:sz w:val="22"/>
                <w:szCs w:val="22"/>
                <w:lang w:val="es-ES_tradnl"/>
              </w:rPr>
              <w:t xml:space="preserve">la </w:t>
            </w:r>
            <w:r w:rsidR="001B2753">
              <w:rPr>
                <w:rFonts w:asciiTheme="minorHAnsi" w:hAnsiTheme="minorHAnsi"/>
                <w:i/>
                <w:sz w:val="22"/>
                <w:szCs w:val="22"/>
                <w:lang w:val="es-ES_tradnl"/>
              </w:rPr>
              <w:t xml:space="preserve">proposición de ley </w:t>
            </w:r>
            <w:r w:rsidRPr="00E45E6D">
              <w:rPr>
                <w:rFonts w:asciiTheme="minorHAnsi" w:hAnsiTheme="minorHAnsi"/>
                <w:i/>
                <w:sz w:val="22"/>
                <w:szCs w:val="22"/>
                <w:lang w:val="es-ES_tradnl"/>
              </w:rPr>
              <w:t>debería hacer referencia explícita a los tratamientos a los menores de edad y</w:t>
            </w:r>
            <w:r w:rsidR="002275D9">
              <w:rPr>
                <w:rFonts w:asciiTheme="minorHAnsi" w:hAnsiTheme="minorHAnsi"/>
                <w:i/>
                <w:sz w:val="22"/>
                <w:szCs w:val="22"/>
                <w:lang w:val="es-ES_tradnl"/>
              </w:rPr>
              <w:t>,</w:t>
            </w:r>
            <w:r w:rsidRPr="00E45E6D">
              <w:rPr>
                <w:rFonts w:asciiTheme="minorHAnsi" w:hAnsiTheme="minorHAnsi"/>
                <w:i/>
                <w:sz w:val="22"/>
                <w:szCs w:val="22"/>
                <w:lang w:val="es-ES_tradnl"/>
              </w:rPr>
              <w:t xml:space="preserve"> en cualquier caso</w:t>
            </w:r>
            <w:r w:rsidR="002275D9">
              <w:rPr>
                <w:rFonts w:asciiTheme="minorHAnsi" w:hAnsiTheme="minorHAnsi"/>
                <w:i/>
                <w:sz w:val="22"/>
                <w:szCs w:val="22"/>
                <w:lang w:val="es-ES_tradnl"/>
              </w:rPr>
              <w:t>,</w:t>
            </w:r>
            <w:r w:rsidRPr="00E45E6D">
              <w:rPr>
                <w:rFonts w:asciiTheme="minorHAnsi" w:hAnsiTheme="minorHAnsi"/>
                <w:i/>
                <w:sz w:val="22"/>
                <w:szCs w:val="22"/>
                <w:lang w:val="es-ES_tradnl"/>
              </w:rPr>
              <w:t xml:space="preserve"> el </w:t>
            </w:r>
            <w:r w:rsidRPr="00E401CB">
              <w:rPr>
                <w:rFonts w:asciiTheme="minorHAnsi" w:hAnsiTheme="minorHAnsi"/>
                <w:b/>
                <w:i/>
                <w:sz w:val="22"/>
                <w:szCs w:val="22"/>
                <w:lang w:val="es-ES_tradnl"/>
              </w:rPr>
              <w:t>artículo 12 (punto 2)</w:t>
            </w:r>
            <w:r w:rsidRPr="00E45E6D">
              <w:rPr>
                <w:rFonts w:asciiTheme="minorHAnsi" w:hAnsiTheme="minorHAnsi"/>
                <w:i/>
                <w:sz w:val="22"/>
                <w:szCs w:val="22"/>
                <w:lang w:val="es-ES_tradnl"/>
              </w:rPr>
              <w:t xml:space="preserve"> debería </w:t>
            </w:r>
            <w:r w:rsidRPr="00E401CB">
              <w:rPr>
                <w:rFonts w:asciiTheme="minorHAnsi" w:hAnsiTheme="minorHAnsi"/>
                <w:i/>
                <w:sz w:val="22"/>
                <w:szCs w:val="22"/>
                <w:u w:val="single"/>
                <w:lang w:val="es-ES_tradnl"/>
              </w:rPr>
              <w:t>elimin</w:t>
            </w:r>
            <w:r w:rsidR="00AF44F0" w:rsidRPr="00E401CB">
              <w:rPr>
                <w:rFonts w:asciiTheme="minorHAnsi" w:hAnsiTheme="minorHAnsi"/>
                <w:i/>
                <w:sz w:val="22"/>
                <w:szCs w:val="22"/>
                <w:u w:val="single"/>
                <w:lang w:val="es-ES_tradnl"/>
              </w:rPr>
              <w:t xml:space="preserve">ar la referencia a los </w:t>
            </w:r>
            <w:r w:rsidR="004946C6" w:rsidRPr="00E401CB">
              <w:rPr>
                <w:rFonts w:asciiTheme="minorHAnsi" w:hAnsiTheme="minorHAnsi"/>
                <w:i/>
                <w:sz w:val="22"/>
                <w:szCs w:val="22"/>
                <w:u w:val="single"/>
                <w:lang w:val="es-ES_tradnl"/>
              </w:rPr>
              <w:t>menores o</w:t>
            </w:r>
            <w:r w:rsidR="002275D9">
              <w:rPr>
                <w:rFonts w:asciiTheme="minorHAnsi" w:hAnsiTheme="minorHAnsi"/>
                <w:i/>
                <w:sz w:val="22"/>
                <w:szCs w:val="22"/>
                <w:u w:val="single"/>
                <w:lang w:val="es-ES_tradnl"/>
              </w:rPr>
              <w:t xml:space="preserve"> </w:t>
            </w:r>
            <w:r w:rsidRPr="00E401CB">
              <w:rPr>
                <w:rFonts w:asciiTheme="minorHAnsi" w:hAnsiTheme="minorHAnsi"/>
                <w:i/>
                <w:sz w:val="22"/>
                <w:szCs w:val="22"/>
                <w:u w:val="single"/>
                <w:lang w:val="es-ES_tradnl"/>
              </w:rPr>
              <w:t xml:space="preserve">especificarse que solamente se hace referencia </w:t>
            </w:r>
            <w:r w:rsidR="002275D9">
              <w:rPr>
                <w:rFonts w:asciiTheme="minorHAnsi" w:hAnsiTheme="minorHAnsi"/>
                <w:i/>
                <w:sz w:val="22"/>
                <w:szCs w:val="22"/>
                <w:u w:val="single"/>
                <w:lang w:val="es-ES_tradnl"/>
              </w:rPr>
              <w:t>a ellos</w:t>
            </w:r>
            <w:r w:rsidRPr="00E401CB">
              <w:rPr>
                <w:rFonts w:asciiTheme="minorHAnsi" w:hAnsiTheme="minorHAnsi"/>
                <w:i/>
                <w:sz w:val="22"/>
                <w:szCs w:val="22"/>
                <w:u w:val="single"/>
                <w:lang w:val="es-ES_tradnl"/>
              </w:rPr>
              <w:t xml:space="preserve"> en cuanto a la no discriminación</w:t>
            </w:r>
            <w:r w:rsidR="002275D9">
              <w:rPr>
                <w:rFonts w:asciiTheme="minorHAnsi" w:hAnsiTheme="minorHAnsi"/>
                <w:i/>
                <w:sz w:val="22"/>
                <w:szCs w:val="22"/>
                <w:u w:val="single"/>
                <w:lang w:val="es-ES_tradnl"/>
              </w:rPr>
              <w:t>,</w:t>
            </w:r>
            <w:r w:rsidRPr="00E401CB">
              <w:rPr>
                <w:rFonts w:asciiTheme="minorHAnsi" w:hAnsiTheme="minorHAnsi"/>
                <w:i/>
                <w:sz w:val="22"/>
                <w:szCs w:val="22"/>
                <w:u w:val="single"/>
                <w:lang w:val="es-ES_tradnl"/>
              </w:rPr>
              <w:t xml:space="preserve"> pero no a</w:t>
            </w:r>
            <w:r w:rsidR="002275D9">
              <w:rPr>
                <w:rFonts w:asciiTheme="minorHAnsi" w:hAnsiTheme="minorHAnsi"/>
                <w:i/>
                <w:sz w:val="22"/>
                <w:szCs w:val="22"/>
                <w:u w:val="single"/>
                <w:lang w:val="es-ES_tradnl"/>
              </w:rPr>
              <w:t>l</w:t>
            </w:r>
            <w:r w:rsidRPr="00E401CB">
              <w:rPr>
                <w:rFonts w:asciiTheme="minorHAnsi" w:hAnsiTheme="minorHAnsi"/>
                <w:i/>
                <w:sz w:val="22"/>
                <w:szCs w:val="22"/>
                <w:u w:val="single"/>
                <w:lang w:val="es-ES_tradnl"/>
              </w:rPr>
              <w:t xml:space="preserve"> derecho de todos los menores al tratamiento hormonal. </w:t>
            </w:r>
          </w:p>
          <w:p w14:paraId="429E69F3" w14:textId="77777777" w:rsidR="003B23EE" w:rsidRDefault="007023D3" w:rsidP="00394E74">
            <w:pPr>
              <w:pStyle w:val="Prrafodelista"/>
              <w:numPr>
                <w:ilvl w:val="0"/>
                <w:numId w:val="15"/>
              </w:numPr>
              <w:spacing w:afterLines="200" w:after="480" w:line="360" w:lineRule="auto"/>
              <w:jc w:val="both"/>
              <w:rPr>
                <w:rFonts w:asciiTheme="minorHAnsi" w:hAnsiTheme="minorHAnsi"/>
                <w:sz w:val="22"/>
                <w:szCs w:val="22"/>
                <w:u w:val="single"/>
                <w:lang w:val="es-ES_tradnl"/>
              </w:rPr>
            </w:pPr>
            <w:r w:rsidRPr="00E401CB">
              <w:rPr>
                <w:rFonts w:asciiTheme="minorHAnsi" w:hAnsiTheme="minorHAnsi"/>
                <w:b/>
                <w:i/>
                <w:sz w:val="22"/>
                <w:szCs w:val="22"/>
                <w:lang w:val="es-ES_tradnl"/>
              </w:rPr>
              <w:t xml:space="preserve"> </w:t>
            </w:r>
            <w:r w:rsidR="00AA2E8B">
              <w:rPr>
                <w:rFonts w:asciiTheme="minorHAnsi" w:hAnsiTheme="minorHAnsi"/>
                <w:b/>
                <w:i/>
                <w:sz w:val="22"/>
                <w:szCs w:val="22"/>
                <w:lang w:val="es-ES_tradnl"/>
              </w:rPr>
              <w:t xml:space="preserve">El </w:t>
            </w:r>
            <w:r w:rsidRPr="00E401CB">
              <w:rPr>
                <w:rFonts w:asciiTheme="minorHAnsi" w:hAnsiTheme="minorHAnsi"/>
                <w:b/>
                <w:i/>
                <w:sz w:val="22"/>
                <w:szCs w:val="22"/>
                <w:lang w:val="es-ES_tradnl"/>
              </w:rPr>
              <w:t>artículo 12 (punto 3)</w:t>
            </w:r>
            <w:r w:rsidR="00AE6975">
              <w:rPr>
                <w:rFonts w:asciiTheme="minorHAnsi" w:hAnsiTheme="minorHAnsi"/>
                <w:sz w:val="22"/>
                <w:szCs w:val="22"/>
                <w:lang w:val="es-ES_tradnl"/>
              </w:rPr>
              <w:t xml:space="preserve"> </w:t>
            </w:r>
            <w:r w:rsidR="00AE6975" w:rsidRPr="00AE6975">
              <w:rPr>
                <w:rFonts w:asciiTheme="minorHAnsi" w:hAnsiTheme="minorHAnsi"/>
                <w:i/>
                <w:sz w:val="22"/>
                <w:szCs w:val="22"/>
                <w:lang w:val="es-ES_tradnl"/>
              </w:rPr>
              <w:t>de la proposición de ley</w:t>
            </w:r>
            <w:r w:rsidRPr="00E45E6D">
              <w:rPr>
                <w:rFonts w:asciiTheme="minorHAnsi" w:hAnsiTheme="minorHAnsi"/>
                <w:i/>
                <w:sz w:val="22"/>
                <w:szCs w:val="22"/>
                <w:lang w:val="es-ES_tradnl"/>
              </w:rPr>
              <w:t xml:space="preserve"> debería hacer referencia </w:t>
            </w:r>
            <w:r w:rsidR="00AE6975">
              <w:rPr>
                <w:rFonts w:asciiTheme="minorHAnsi" w:hAnsiTheme="minorHAnsi"/>
                <w:i/>
                <w:sz w:val="22"/>
                <w:szCs w:val="22"/>
                <w:lang w:val="es-ES_tradnl"/>
              </w:rPr>
              <w:t xml:space="preserve">explícita </w:t>
            </w:r>
            <w:r w:rsidRPr="00E45E6D">
              <w:rPr>
                <w:rFonts w:asciiTheme="minorHAnsi" w:hAnsiTheme="minorHAnsi"/>
                <w:i/>
                <w:sz w:val="22"/>
                <w:szCs w:val="22"/>
                <w:lang w:val="es-ES_tradnl"/>
              </w:rPr>
              <w:t xml:space="preserve">a que </w:t>
            </w:r>
            <w:r w:rsidR="00AF44F0" w:rsidRPr="00E401CB">
              <w:rPr>
                <w:rFonts w:asciiTheme="minorHAnsi" w:hAnsiTheme="minorHAnsi"/>
                <w:i/>
                <w:sz w:val="22"/>
                <w:szCs w:val="22"/>
                <w:u w:val="single"/>
                <w:lang w:val="es-ES_tradnl"/>
              </w:rPr>
              <w:t>“</w:t>
            </w:r>
            <w:r w:rsidRPr="00E401CB">
              <w:rPr>
                <w:rFonts w:asciiTheme="minorHAnsi" w:hAnsiTheme="minorHAnsi"/>
                <w:i/>
                <w:sz w:val="22"/>
                <w:szCs w:val="22"/>
                <w:u w:val="single"/>
                <w:lang w:val="es-ES_tradnl"/>
              </w:rPr>
              <w:t>proporcionar intervenciones quirúrgicas p</w:t>
            </w:r>
            <w:r w:rsidR="00AF44F0" w:rsidRPr="00E401CB">
              <w:rPr>
                <w:rFonts w:asciiTheme="minorHAnsi" w:hAnsiTheme="minorHAnsi"/>
                <w:i/>
                <w:sz w:val="22"/>
                <w:szCs w:val="22"/>
                <w:u w:val="single"/>
                <w:lang w:val="es-ES_tradnl"/>
              </w:rPr>
              <w:t>ara favorecer la transexualidad” se refiere a mayores de edad, quedando excluidos los menores</w:t>
            </w:r>
            <w:r w:rsidR="00AF44F0">
              <w:rPr>
                <w:rFonts w:asciiTheme="minorHAnsi" w:hAnsiTheme="minorHAnsi"/>
                <w:i/>
                <w:sz w:val="22"/>
                <w:szCs w:val="22"/>
                <w:lang w:val="es-ES_tradnl"/>
              </w:rPr>
              <w:t>.</w:t>
            </w:r>
          </w:p>
          <w:p w14:paraId="525376FA" w14:textId="77777777" w:rsidR="003B23EE" w:rsidRDefault="00E401CB" w:rsidP="00394E74">
            <w:pPr>
              <w:pStyle w:val="Prrafodelista"/>
              <w:numPr>
                <w:ilvl w:val="0"/>
                <w:numId w:val="15"/>
              </w:numPr>
              <w:spacing w:afterLines="200" w:after="480" w:line="360" w:lineRule="auto"/>
              <w:jc w:val="both"/>
              <w:rPr>
                <w:rFonts w:asciiTheme="minorHAnsi" w:hAnsiTheme="minorHAnsi"/>
                <w:sz w:val="22"/>
                <w:szCs w:val="22"/>
                <w:lang w:val="es-ES_tradnl"/>
              </w:rPr>
            </w:pPr>
            <w:r w:rsidRPr="00E401CB">
              <w:rPr>
                <w:i/>
                <w:sz w:val="22"/>
                <w:szCs w:val="22"/>
                <w:u w:val="single"/>
                <w:lang w:val="es-ES_tradnl"/>
              </w:rPr>
              <w:t>Todas las anteriores consideraciones</w:t>
            </w:r>
            <w:r>
              <w:rPr>
                <w:i/>
                <w:sz w:val="22"/>
                <w:szCs w:val="22"/>
                <w:lang w:val="es-ES_tradnl"/>
              </w:rPr>
              <w:t xml:space="preserve"> deberían tenerse en cuenta en la redacción de </w:t>
            </w:r>
            <w:r w:rsidR="009865D1" w:rsidRPr="009865D1">
              <w:rPr>
                <w:i/>
                <w:sz w:val="22"/>
                <w:szCs w:val="22"/>
              </w:rPr>
              <w:t xml:space="preserve">la </w:t>
            </w:r>
            <w:r w:rsidR="009865D1" w:rsidRPr="009865D1">
              <w:rPr>
                <w:b/>
                <w:i/>
                <w:sz w:val="22"/>
                <w:szCs w:val="22"/>
              </w:rPr>
              <w:t>disposición adicional</w:t>
            </w:r>
            <w:r>
              <w:rPr>
                <w:b/>
                <w:i/>
                <w:sz w:val="22"/>
                <w:szCs w:val="22"/>
              </w:rPr>
              <w:t xml:space="preserve"> </w:t>
            </w:r>
            <w:r>
              <w:rPr>
                <w:b/>
                <w:i/>
                <w:sz w:val="22"/>
                <w:szCs w:val="22"/>
                <w:u w:val="single"/>
              </w:rPr>
              <w:t>cuarta, punto 4,</w:t>
            </w:r>
            <w:r w:rsidR="009865D1" w:rsidRPr="009865D1">
              <w:rPr>
                <w:i/>
                <w:sz w:val="22"/>
                <w:szCs w:val="22"/>
              </w:rPr>
              <w:t xml:space="preserve"> relativo a la Modificación de la “Ley 2/2014, de 8 de julio, integral para la no discriminación por motivos de identidad de género y reconocimiento de los derechos de las personas transexuales de Andalucía”</w:t>
            </w:r>
            <w:r>
              <w:rPr>
                <w:i/>
                <w:sz w:val="22"/>
                <w:szCs w:val="22"/>
              </w:rPr>
              <w:t>.</w:t>
            </w:r>
          </w:p>
        </w:tc>
      </w:tr>
    </w:tbl>
    <w:p w14:paraId="4231C134" w14:textId="77777777" w:rsidR="00971EF1" w:rsidRDefault="00971EF1" w:rsidP="00394E74">
      <w:pPr>
        <w:spacing w:afterLines="200" w:after="480" w:line="360" w:lineRule="auto"/>
        <w:jc w:val="both"/>
        <w:rPr>
          <w:rFonts w:asciiTheme="minorHAnsi" w:hAnsiTheme="minorHAnsi"/>
          <w:b/>
          <w:sz w:val="22"/>
          <w:szCs w:val="22"/>
        </w:rPr>
      </w:pPr>
    </w:p>
    <w:p w14:paraId="09CDAEB4" w14:textId="77777777" w:rsidR="00FE0C47" w:rsidRPr="00394E74" w:rsidRDefault="0049257B" w:rsidP="00394E74">
      <w:pPr>
        <w:spacing w:afterLines="200" w:after="480" w:line="360" w:lineRule="auto"/>
        <w:jc w:val="both"/>
        <w:rPr>
          <w:rFonts w:asciiTheme="minorHAnsi" w:hAnsiTheme="minorHAnsi"/>
          <w:b/>
          <w:sz w:val="22"/>
          <w:szCs w:val="22"/>
        </w:rPr>
      </w:pPr>
      <w:r>
        <w:rPr>
          <w:rFonts w:asciiTheme="minorHAnsi" w:hAnsiTheme="minorHAnsi"/>
          <w:b/>
          <w:sz w:val="22"/>
          <w:szCs w:val="22"/>
        </w:rPr>
        <w:t>APÉNDICE I</w:t>
      </w:r>
      <w:r w:rsidR="003B23EE">
        <w:rPr>
          <w:rFonts w:asciiTheme="minorHAnsi" w:hAnsiTheme="minorHAnsi"/>
          <w:b/>
          <w:sz w:val="22"/>
          <w:szCs w:val="22"/>
        </w:rPr>
        <w:t>. Categorías principales de intersexualidad</w:t>
      </w:r>
    </w:p>
    <w:p w14:paraId="32B3D575" w14:textId="77777777" w:rsidR="003B23EE" w:rsidRPr="00E950F5" w:rsidRDefault="003B23EE" w:rsidP="00394E74">
      <w:pPr>
        <w:pStyle w:val="Prrafodelista"/>
        <w:numPr>
          <w:ilvl w:val="0"/>
          <w:numId w:val="13"/>
        </w:numPr>
        <w:spacing w:afterLines="200" w:after="480" w:line="360" w:lineRule="auto"/>
        <w:jc w:val="both"/>
        <w:rPr>
          <w:sz w:val="22"/>
          <w:szCs w:val="22"/>
          <w:lang w:val="es-ES_tradnl"/>
        </w:rPr>
      </w:pPr>
      <w:r>
        <w:rPr>
          <w:b/>
          <w:sz w:val="22"/>
          <w:szCs w:val="22"/>
          <w:lang w:val="es-ES_tradnl"/>
        </w:rPr>
        <w:t>Hiperplasia a</w:t>
      </w:r>
      <w:r w:rsidRPr="00E950F5">
        <w:rPr>
          <w:b/>
          <w:sz w:val="22"/>
          <w:szCs w:val="22"/>
          <w:lang w:val="es-ES_tradnl"/>
        </w:rPr>
        <w:t>drenocortical congénita (pseudohermafroditismo femenino</w:t>
      </w:r>
      <w:r>
        <w:rPr>
          <w:b/>
          <w:sz w:val="22"/>
          <w:szCs w:val="22"/>
          <w:lang w:val="es-ES_tradnl"/>
        </w:rPr>
        <w:t>, código E25.0 del CIE-10</w:t>
      </w:r>
      <w:r w:rsidRPr="00E950F5">
        <w:rPr>
          <w:b/>
          <w:sz w:val="22"/>
          <w:szCs w:val="22"/>
          <w:lang w:val="es-ES_tradnl"/>
        </w:rPr>
        <w:t xml:space="preserve">): </w:t>
      </w:r>
      <w:r>
        <w:rPr>
          <w:sz w:val="22"/>
          <w:szCs w:val="22"/>
          <w:lang w:val="es-ES_tradnl"/>
        </w:rPr>
        <w:t>su</w:t>
      </w:r>
      <w:r w:rsidRPr="00E950F5">
        <w:rPr>
          <w:sz w:val="22"/>
          <w:szCs w:val="22"/>
          <w:lang w:val="es-ES_tradnl"/>
        </w:rPr>
        <w:t xml:space="preserve"> causa se atribuye a una disfunción hereditaria de una o más de </w:t>
      </w:r>
      <w:r>
        <w:rPr>
          <w:sz w:val="22"/>
          <w:szCs w:val="22"/>
          <w:lang w:val="es-ES_tradnl"/>
        </w:rPr>
        <w:t xml:space="preserve">las </w:t>
      </w:r>
      <w:r w:rsidRPr="00E950F5">
        <w:rPr>
          <w:sz w:val="22"/>
          <w:szCs w:val="22"/>
          <w:lang w:val="es-ES_tradnl"/>
        </w:rPr>
        <w:t>seis enzimas implicadas en la síntesis de hormonas esteroide</w:t>
      </w:r>
      <w:r>
        <w:rPr>
          <w:sz w:val="22"/>
          <w:szCs w:val="22"/>
          <w:lang w:val="es-ES_tradnl"/>
        </w:rPr>
        <w:t>a</w:t>
      </w:r>
      <w:r w:rsidRPr="00E950F5">
        <w:rPr>
          <w:sz w:val="22"/>
          <w:szCs w:val="22"/>
          <w:lang w:val="es-ES_tradnl"/>
        </w:rPr>
        <w:t xml:space="preserve">s. Los rasgos clínicos básicos </w:t>
      </w:r>
      <w:r>
        <w:rPr>
          <w:sz w:val="22"/>
          <w:szCs w:val="22"/>
          <w:lang w:val="es-ES_tradnl"/>
        </w:rPr>
        <w:t>consisten en</w:t>
      </w:r>
      <w:r w:rsidRPr="00E950F5">
        <w:rPr>
          <w:sz w:val="22"/>
          <w:szCs w:val="22"/>
          <w:lang w:val="es-ES_tradnl"/>
        </w:rPr>
        <w:t xml:space="preserve"> la aparición en </w:t>
      </w:r>
      <w:r>
        <w:rPr>
          <w:sz w:val="22"/>
          <w:szCs w:val="22"/>
          <w:lang w:val="es-ES_tradnl"/>
        </w:rPr>
        <w:t>un</w:t>
      </w:r>
      <w:r w:rsidRPr="00E950F5">
        <w:rPr>
          <w:sz w:val="22"/>
          <w:szCs w:val="22"/>
          <w:lang w:val="es-ES_tradnl"/>
        </w:rPr>
        <w:t xml:space="preserve"> bebé XX de una masculinización genital leve o severa, que puede ser </w:t>
      </w:r>
      <w:r>
        <w:rPr>
          <w:sz w:val="22"/>
          <w:szCs w:val="22"/>
          <w:lang w:val="es-ES_tradnl"/>
        </w:rPr>
        <w:t>evidente en el momento</w:t>
      </w:r>
      <w:r w:rsidRPr="00E950F5">
        <w:rPr>
          <w:sz w:val="22"/>
          <w:szCs w:val="22"/>
          <w:lang w:val="es-ES_tradnl"/>
        </w:rPr>
        <w:t xml:space="preserve"> de</w:t>
      </w:r>
      <w:r>
        <w:rPr>
          <w:sz w:val="22"/>
          <w:szCs w:val="22"/>
          <w:lang w:val="es-ES_tradnl"/>
        </w:rPr>
        <w:t>l</w:t>
      </w:r>
      <w:r w:rsidRPr="00E950F5">
        <w:rPr>
          <w:sz w:val="22"/>
          <w:szCs w:val="22"/>
          <w:lang w:val="es-ES_tradnl"/>
        </w:rPr>
        <w:t xml:space="preserve"> nacimiento o </w:t>
      </w:r>
      <w:r>
        <w:rPr>
          <w:sz w:val="22"/>
          <w:szCs w:val="22"/>
          <w:lang w:val="es-ES_tradnl"/>
        </w:rPr>
        <w:t xml:space="preserve">con </w:t>
      </w:r>
      <w:r w:rsidRPr="00E950F5">
        <w:rPr>
          <w:sz w:val="22"/>
          <w:szCs w:val="22"/>
          <w:lang w:val="es-ES_tradnl"/>
        </w:rPr>
        <w:t>posterior</w:t>
      </w:r>
      <w:r>
        <w:rPr>
          <w:sz w:val="22"/>
          <w:szCs w:val="22"/>
          <w:lang w:val="es-ES_tradnl"/>
        </w:rPr>
        <w:t>idad</w:t>
      </w:r>
      <w:r w:rsidRPr="00E950F5">
        <w:rPr>
          <w:sz w:val="22"/>
          <w:szCs w:val="22"/>
          <w:lang w:val="es-ES_tradnl"/>
        </w:rPr>
        <w:t xml:space="preserve">. De no ser tratada, puede causar masculinización en la pubertad. Algunas formas afectan drásticamente al metabolismo salino y ponen en </w:t>
      </w:r>
      <w:r>
        <w:rPr>
          <w:sz w:val="22"/>
          <w:szCs w:val="22"/>
          <w:lang w:val="es-ES_tradnl"/>
        </w:rPr>
        <w:t>peligro la vida si no se tratan.</w:t>
      </w:r>
    </w:p>
    <w:p w14:paraId="3810A778" w14:textId="77777777" w:rsidR="003B23EE" w:rsidRPr="00E950F5" w:rsidRDefault="003B23EE" w:rsidP="00394E74">
      <w:pPr>
        <w:pStyle w:val="Prrafodelista"/>
        <w:numPr>
          <w:ilvl w:val="0"/>
          <w:numId w:val="13"/>
        </w:numPr>
        <w:spacing w:afterLines="200" w:after="480" w:line="360" w:lineRule="auto"/>
        <w:jc w:val="both"/>
        <w:rPr>
          <w:sz w:val="22"/>
          <w:szCs w:val="22"/>
          <w:lang w:val="es-ES_tradnl"/>
        </w:rPr>
      </w:pPr>
      <w:r w:rsidRPr="00E950F5">
        <w:rPr>
          <w:b/>
          <w:sz w:val="22"/>
          <w:szCs w:val="22"/>
          <w:lang w:val="es-ES_tradnl"/>
        </w:rPr>
        <w:t>Síndrome de insensibilidad a los andrógenos (pseudohermafroditismo masculino</w:t>
      </w:r>
      <w:r>
        <w:rPr>
          <w:b/>
          <w:sz w:val="22"/>
          <w:szCs w:val="22"/>
          <w:lang w:val="es-ES_tradnl"/>
        </w:rPr>
        <w:t>, código Q56.1 del CIE-10</w:t>
      </w:r>
      <w:r w:rsidRPr="00E950F5">
        <w:rPr>
          <w:b/>
          <w:sz w:val="22"/>
          <w:szCs w:val="22"/>
          <w:lang w:val="es-ES_tradnl"/>
        </w:rPr>
        <w:t xml:space="preserve">): </w:t>
      </w:r>
      <w:r w:rsidRPr="00067DCA">
        <w:rPr>
          <w:sz w:val="22"/>
          <w:szCs w:val="22"/>
          <w:lang w:val="es-ES_tradnl"/>
        </w:rPr>
        <w:t xml:space="preserve">su </w:t>
      </w:r>
      <w:r w:rsidRPr="00E950F5">
        <w:rPr>
          <w:sz w:val="22"/>
          <w:szCs w:val="22"/>
          <w:lang w:val="es-ES_tradnl"/>
        </w:rPr>
        <w:t>causa radica en un cambio hereditario del receptor para la testosterona en la superficie celular. En este caso, los bebés XY presenta</w:t>
      </w:r>
      <w:r>
        <w:rPr>
          <w:sz w:val="22"/>
          <w:szCs w:val="22"/>
          <w:lang w:val="es-ES_tradnl"/>
        </w:rPr>
        <w:t>n</w:t>
      </w:r>
      <w:r w:rsidRPr="00E950F5">
        <w:rPr>
          <w:sz w:val="22"/>
          <w:szCs w:val="22"/>
          <w:lang w:val="es-ES_tradnl"/>
        </w:rPr>
        <w:t xml:space="preserve"> u</w:t>
      </w:r>
      <w:r>
        <w:rPr>
          <w:sz w:val="22"/>
          <w:szCs w:val="22"/>
          <w:lang w:val="es-ES_tradnl"/>
        </w:rPr>
        <w:t>na feminización de los genitales.</w:t>
      </w:r>
      <w:r w:rsidRPr="00E950F5">
        <w:rPr>
          <w:sz w:val="22"/>
          <w:szCs w:val="22"/>
          <w:lang w:val="es-ES_tradnl"/>
        </w:rPr>
        <w:t xml:space="preserve"> El cuerpo no </w:t>
      </w:r>
      <w:r>
        <w:rPr>
          <w:sz w:val="22"/>
          <w:szCs w:val="22"/>
          <w:lang w:val="es-ES_tradnl"/>
        </w:rPr>
        <w:t xml:space="preserve">reacciona </w:t>
      </w:r>
      <w:r w:rsidRPr="00E950F5">
        <w:rPr>
          <w:sz w:val="22"/>
          <w:szCs w:val="22"/>
          <w:lang w:val="es-ES_tradnl"/>
        </w:rPr>
        <w:t xml:space="preserve">a la presencia de testosterona, </w:t>
      </w:r>
      <w:r>
        <w:rPr>
          <w:sz w:val="22"/>
          <w:szCs w:val="22"/>
          <w:lang w:val="es-ES_tradnl"/>
        </w:rPr>
        <w:t>produciéndose un desarrollo inadecuado de la masculinización</w:t>
      </w:r>
      <w:r w:rsidRPr="00E950F5">
        <w:rPr>
          <w:sz w:val="22"/>
          <w:szCs w:val="22"/>
          <w:lang w:val="es-ES_tradnl"/>
        </w:rPr>
        <w:t xml:space="preserve">. Los elementos más perceptibles son la aparición de mamas en la pubertad y una silueta femenina. </w:t>
      </w:r>
    </w:p>
    <w:p w14:paraId="71F588BF" w14:textId="1FA4C08F" w:rsidR="003B23EE" w:rsidRDefault="004946C6" w:rsidP="00394E74">
      <w:pPr>
        <w:pStyle w:val="Prrafodelista"/>
        <w:numPr>
          <w:ilvl w:val="0"/>
          <w:numId w:val="13"/>
        </w:numPr>
        <w:spacing w:afterLines="200" w:after="480" w:line="360" w:lineRule="auto"/>
        <w:jc w:val="both"/>
        <w:rPr>
          <w:sz w:val="22"/>
          <w:szCs w:val="22"/>
          <w:lang w:val="es-ES_tradnl"/>
        </w:rPr>
      </w:pPr>
      <w:r w:rsidRPr="00E950F5">
        <w:rPr>
          <w:b/>
          <w:sz w:val="22"/>
          <w:szCs w:val="22"/>
          <w:lang w:val="es-ES_tradnl"/>
        </w:rPr>
        <w:t>Disg</w:t>
      </w:r>
      <w:r>
        <w:rPr>
          <w:b/>
          <w:sz w:val="22"/>
          <w:szCs w:val="22"/>
          <w:lang w:val="es-ES_tradnl"/>
        </w:rPr>
        <w:t>e</w:t>
      </w:r>
      <w:r w:rsidRPr="00E950F5">
        <w:rPr>
          <w:b/>
          <w:sz w:val="22"/>
          <w:szCs w:val="22"/>
          <w:lang w:val="es-ES_tradnl"/>
        </w:rPr>
        <w:t>nesi</w:t>
      </w:r>
      <w:r>
        <w:rPr>
          <w:b/>
          <w:sz w:val="22"/>
          <w:szCs w:val="22"/>
          <w:lang w:val="es-ES_tradnl"/>
        </w:rPr>
        <w:t>as</w:t>
      </w:r>
      <w:r w:rsidR="003B23EE" w:rsidRPr="00E950F5">
        <w:rPr>
          <w:b/>
          <w:sz w:val="22"/>
          <w:szCs w:val="22"/>
          <w:lang w:val="es-ES_tradnl"/>
        </w:rPr>
        <w:t xml:space="preserve"> gonadal</w:t>
      </w:r>
      <w:r w:rsidR="003B23EE" w:rsidRPr="00E950F5">
        <w:rPr>
          <w:sz w:val="22"/>
          <w:szCs w:val="22"/>
          <w:lang w:val="es-ES_tradnl"/>
        </w:rPr>
        <w:t xml:space="preserve">: </w:t>
      </w:r>
      <w:r w:rsidR="003B23EE">
        <w:rPr>
          <w:sz w:val="22"/>
          <w:szCs w:val="22"/>
          <w:lang w:val="es-ES_tradnl"/>
        </w:rPr>
        <w:t>sus</w:t>
      </w:r>
      <w:r w:rsidR="003B23EE" w:rsidRPr="00E950F5">
        <w:rPr>
          <w:sz w:val="22"/>
          <w:szCs w:val="22"/>
          <w:lang w:val="es-ES_tradnl"/>
        </w:rPr>
        <w:t xml:space="preserve"> causas </w:t>
      </w:r>
      <w:r w:rsidR="003B23EE">
        <w:rPr>
          <w:sz w:val="22"/>
          <w:szCs w:val="22"/>
          <w:lang w:val="es-ES_tradnl"/>
        </w:rPr>
        <w:t>no son</w:t>
      </w:r>
      <w:r w:rsidR="003B23EE" w:rsidRPr="00E950F5">
        <w:rPr>
          <w:sz w:val="22"/>
          <w:szCs w:val="22"/>
          <w:lang w:val="es-ES_tradnl"/>
        </w:rPr>
        <w:t xml:space="preserve"> únicamente </w:t>
      </w:r>
      <w:r w:rsidR="003B23EE">
        <w:rPr>
          <w:sz w:val="22"/>
          <w:szCs w:val="22"/>
          <w:lang w:val="es-ES_tradnl"/>
        </w:rPr>
        <w:t>de carácter</w:t>
      </w:r>
      <w:r w:rsidR="003B23EE" w:rsidRPr="00E950F5">
        <w:rPr>
          <w:sz w:val="22"/>
          <w:szCs w:val="22"/>
          <w:lang w:val="es-ES_tradnl"/>
        </w:rPr>
        <w:t xml:space="preserve"> genétic</w:t>
      </w:r>
      <w:r w:rsidR="003B23EE">
        <w:rPr>
          <w:sz w:val="22"/>
          <w:szCs w:val="22"/>
          <w:lang w:val="es-ES_tradnl"/>
        </w:rPr>
        <w:t>o.</w:t>
      </w:r>
      <w:r w:rsidR="003B23EE" w:rsidRPr="00E950F5">
        <w:rPr>
          <w:sz w:val="22"/>
          <w:szCs w:val="22"/>
          <w:lang w:val="es-ES_tradnl"/>
        </w:rPr>
        <w:t xml:space="preserve"> </w:t>
      </w:r>
      <w:r w:rsidR="003B23EE">
        <w:rPr>
          <w:sz w:val="22"/>
          <w:szCs w:val="22"/>
          <w:lang w:val="es-ES_tradnl"/>
        </w:rPr>
        <w:t xml:space="preserve">En </w:t>
      </w:r>
      <w:r w:rsidR="003B23EE" w:rsidRPr="00E950F5">
        <w:rPr>
          <w:sz w:val="22"/>
          <w:szCs w:val="22"/>
          <w:lang w:val="es-ES_tradnl"/>
        </w:rPr>
        <w:t xml:space="preserve">este caso suelen </w:t>
      </w:r>
      <w:r w:rsidR="003B23EE">
        <w:rPr>
          <w:sz w:val="22"/>
          <w:szCs w:val="22"/>
          <w:lang w:val="es-ES_tradnl"/>
        </w:rPr>
        <w:t>ser</w:t>
      </w:r>
      <w:r w:rsidR="003B23EE" w:rsidRPr="00E950F5">
        <w:rPr>
          <w:sz w:val="22"/>
          <w:szCs w:val="22"/>
          <w:lang w:val="es-ES_tradnl"/>
        </w:rPr>
        <w:t xml:space="preserve"> individuos, por lo general XY, cuyas gónadas no se desarrollan adecuadamente</w:t>
      </w:r>
      <w:r w:rsidR="003B23EE">
        <w:rPr>
          <w:sz w:val="22"/>
          <w:szCs w:val="22"/>
          <w:lang w:val="es-ES_tradnl"/>
        </w:rPr>
        <w:t xml:space="preserve"> y</w:t>
      </w:r>
      <w:r w:rsidR="003B23EE" w:rsidRPr="00E950F5">
        <w:rPr>
          <w:sz w:val="22"/>
          <w:szCs w:val="22"/>
          <w:lang w:val="es-ES_tradnl"/>
        </w:rPr>
        <w:t xml:space="preserve"> </w:t>
      </w:r>
      <w:r w:rsidR="003B23EE">
        <w:rPr>
          <w:sz w:val="22"/>
          <w:szCs w:val="22"/>
          <w:lang w:val="es-ES_tradnl"/>
        </w:rPr>
        <w:t xml:space="preserve">los </w:t>
      </w:r>
      <w:r w:rsidR="003B23EE" w:rsidRPr="00E950F5">
        <w:rPr>
          <w:sz w:val="22"/>
          <w:szCs w:val="22"/>
          <w:lang w:val="es-ES_tradnl"/>
        </w:rPr>
        <w:t xml:space="preserve">rasgos clínicos son heterogéneos. </w:t>
      </w:r>
    </w:p>
    <w:p w14:paraId="738C05A3" w14:textId="2A807048" w:rsidR="003B23EE" w:rsidRPr="00E950F5" w:rsidRDefault="004946C6" w:rsidP="00394E74">
      <w:pPr>
        <w:pStyle w:val="Prrafodelista"/>
        <w:numPr>
          <w:ilvl w:val="0"/>
          <w:numId w:val="13"/>
        </w:numPr>
        <w:spacing w:afterLines="200" w:after="480" w:line="360" w:lineRule="auto"/>
        <w:jc w:val="both"/>
        <w:rPr>
          <w:sz w:val="22"/>
          <w:szCs w:val="22"/>
          <w:lang w:val="es-ES_tradnl"/>
        </w:rPr>
      </w:pPr>
      <w:r w:rsidRPr="00E950F5">
        <w:rPr>
          <w:b/>
          <w:sz w:val="22"/>
          <w:szCs w:val="22"/>
          <w:lang w:val="es-ES_tradnl"/>
        </w:rPr>
        <w:t>Hipostasias</w:t>
      </w:r>
      <w:r w:rsidR="003B23EE">
        <w:rPr>
          <w:b/>
          <w:sz w:val="22"/>
          <w:szCs w:val="22"/>
          <w:lang w:val="es-ES_tradnl"/>
        </w:rPr>
        <w:t xml:space="preserve"> (código Q54 del CIE-10)</w:t>
      </w:r>
      <w:r w:rsidR="003B23EE" w:rsidRPr="00E950F5">
        <w:rPr>
          <w:sz w:val="22"/>
          <w:szCs w:val="22"/>
          <w:lang w:val="es-ES_tradnl"/>
        </w:rPr>
        <w:t xml:space="preserve">: </w:t>
      </w:r>
      <w:r w:rsidR="003B23EE">
        <w:rPr>
          <w:sz w:val="22"/>
          <w:szCs w:val="22"/>
          <w:lang w:val="es-ES_tradnl"/>
        </w:rPr>
        <w:t>sus</w:t>
      </w:r>
      <w:r w:rsidR="003B23EE" w:rsidRPr="00E950F5">
        <w:rPr>
          <w:sz w:val="22"/>
          <w:szCs w:val="22"/>
          <w:lang w:val="es-ES_tradnl"/>
        </w:rPr>
        <w:t xml:space="preserve"> causas </w:t>
      </w:r>
      <w:r w:rsidR="003B23EE">
        <w:rPr>
          <w:sz w:val="22"/>
          <w:szCs w:val="22"/>
          <w:lang w:val="es-ES_tradnl"/>
        </w:rPr>
        <w:t>también</w:t>
      </w:r>
      <w:r w:rsidR="003B23EE" w:rsidRPr="00E950F5">
        <w:rPr>
          <w:sz w:val="22"/>
          <w:szCs w:val="22"/>
          <w:lang w:val="es-ES_tradnl"/>
        </w:rPr>
        <w:t xml:space="preserve"> son múltiples </w:t>
      </w:r>
      <w:r w:rsidR="003B23EE">
        <w:rPr>
          <w:sz w:val="22"/>
          <w:szCs w:val="22"/>
          <w:lang w:val="es-ES_tradnl"/>
        </w:rPr>
        <w:t>e</w:t>
      </w:r>
      <w:r w:rsidR="003B23EE" w:rsidRPr="00E950F5">
        <w:rPr>
          <w:sz w:val="22"/>
          <w:szCs w:val="22"/>
          <w:lang w:val="es-ES_tradnl"/>
        </w:rPr>
        <w:t xml:space="preserve"> incluyen alteraciones del metabolismo de la testosterona. Los rasgos clínicos más definitorios se perciben en la uretra, pues ésta no se abre al exterior por el extremo del pene</w:t>
      </w:r>
      <w:r w:rsidR="003B23EE">
        <w:rPr>
          <w:sz w:val="22"/>
          <w:szCs w:val="22"/>
          <w:lang w:val="es-ES_tradnl"/>
        </w:rPr>
        <w:t xml:space="preserve"> sino</w:t>
      </w:r>
      <w:r w:rsidR="003B23EE" w:rsidRPr="00E950F5">
        <w:rPr>
          <w:sz w:val="22"/>
          <w:szCs w:val="22"/>
          <w:lang w:val="es-ES_tradnl"/>
        </w:rPr>
        <w:t xml:space="preserve"> en la parte inferior del glande (aberturas leves), en el tronco del pene (aberturas moderadas), </w:t>
      </w:r>
      <w:r w:rsidR="003B23EE">
        <w:rPr>
          <w:sz w:val="22"/>
          <w:szCs w:val="22"/>
          <w:lang w:val="es-ES_tradnl"/>
        </w:rPr>
        <w:t>o</w:t>
      </w:r>
      <w:r w:rsidR="003B23EE" w:rsidRPr="00E950F5">
        <w:rPr>
          <w:sz w:val="22"/>
          <w:szCs w:val="22"/>
          <w:lang w:val="es-ES_tradnl"/>
        </w:rPr>
        <w:t xml:space="preserve"> en la base </w:t>
      </w:r>
      <w:r w:rsidR="003B23EE">
        <w:rPr>
          <w:sz w:val="22"/>
          <w:szCs w:val="22"/>
          <w:lang w:val="es-ES_tradnl"/>
        </w:rPr>
        <w:t xml:space="preserve">del mismo </w:t>
      </w:r>
      <w:r w:rsidR="003B23EE" w:rsidRPr="00E950F5">
        <w:rPr>
          <w:sz w:val="22"/>
          <w:szCs w:val="22"/>
          <w:lang w:val="es-ES_tradnl"/>
        </w:rPr>
        <w:t>(aberturas severas).</w:t>
      </w:r>
    </w:p>
    <w:p w14:paraId="5DC140F7" w14:textId="7E2B2B37" w:rsidR="003B23EE" w:rsidRDefault="003B23EE" w:rsidP="00394E74">
      <w:pPr>
        <w:pStyle w:val="Prrafodelista"/>
        <w:numPr>
          <w:ilvl w:val="0"/>
          <w:numId w:val="13"/>
        </w:numPr>
        <w:spacing w:afterLines="200" w:after="480" w:line="360" w:lineRule="auto"/>
        <w:jc w:val="both"/>
        <w:rPr>
          <w:sz w:val="22"/>
          <w:szCs w:val="22"/>
          <w:lang w:val="es-ES_tradnl"/>
        </w:rPr>
      </w:pPr>
      <w:r w:rsidRPr="00E950F5">
        <w:rPr>
          <w:b/>
          <w:sz w:val="22"/>
          <w:szCs w:val="22"/>
          <w:lang w:val="es-ES_tradnl"/>
        </w:rPr>
        <w:t>Síndrome de Turner</w:t>
      </w:r>
      <w:r>
        <w:rPr>
          <w:b/>
          <w:sz w:val="22"/>
          <w:szCs w:val="22"/>
          <w:lang w:val="es-ES_tradnl"/>
        </w:rPr>
        <w:t xml:space="preserve"> (código Q96 del CIE-10)</w:t>
      </w:r>
      <w:r w:rsidRPr="00E950F5">
        <w:rPr>
          <w:sz w:val="22"/>
          <w:szCs w:val="22"/>
          <w:lang w:val="es-ES_tradnl"/>
        </w:rPr>
        <w:t xml:space="preserve">: </w:t>
      </w:r>
      <w:r>
        <w:rPr>
          <w:sz w:val="22"/>
          <w:szCs w:val="22"/>
          <w:lang w:val="es-ES_tradnl"/>
        </w:rPr>
        <w:t>sus</w:t>
      </w:r>
      <w:r w:rsidRPr="00E950F5">
        <w:rPr>
          <w:sz w:val="22"/>
          <w:szCs w:val="22"/>
          <w:lang w:val="es-ES_tradnl"/>
        </w:rPr>
        <w:t xml:space="preserve"> causas radican en la carencia del cromosoma X en las mujeres (se suele etiquetar con las siglas X</w:t>
      </w:r>
      <w:r>
        <w:rPr>
          <w:sz w:val="22"/>
          <w:szCs w:val="22"/>
          <w:lang w:val="es-ES_tradnl"/>
        </w:rPr>
        <w:t>O</w:t>
      </w:r>
      <w:r w:rsidRPr="00E950F5">
        <w:rPr>
          <w:sz w:val="22"/>
          <w:szCs w:val="22"/>
          <w:lang w:val="es-ES_tradnl"/>
        </w:rPr>
        <w:t xml:space="preserve">). Los rasgos cínicos </w:t>
      </w:r>
      <w:r>
        <w:rPr>
          <w:sz w:val="22"/>
          <w:szCs w:val="22"/>
          <w:lang w:val="es-ES_tradnl"/>
        </w:rPr>
        <w:t>corresponden a</w:t>
      </w:r>
      <w:r w:rsidRPr="00E950F5">
        <w:rPr>
          <w:sz w:val="22"/>
          <w:szCs w:val="22"/>
          <w:lang w:val="es-ES_tradnl"/>
        </w:rPr>
        <w:t xml:space="preserve"> una forma de </w:t>
      </w:r>
      <w:r w:rsidR="004946C6" w:rsidRPr="00E950F5">
        <w:rPr>
          <w:sz w:val="22"/>
          <w:szCs w:val="22"/>
          <w:lang w:val="es-ES_tradnl"/>
        </w:rPr>
        <w:t>disg</w:t>
      </w:r>
      <w:r w:rsidR="004946C6">
        <w:rPr>
          <w:sz w:val="22"/>
          <w:szCs w:val="22"/>
          <w:lang w:val="es-ES_tradnl"/>
        </w:rPr>
        <w:t>e</w:t>
      </w:r>
      <w:r w:rsidR="004946C6" w:rsidRPr="00E950F5">
        <w:rPr>
          <w:sz w:val="22"/>
          <w:szCs w:val="22"/>
          <w:lang w:val="es-ES_tradnl"/>
        </w:rPr>
        <w:t>nesi</w:t>
      </w:r>
      <w:r w:rsidR="004946C6">
        <w:rPr>
          <w:sz w:val="22"/>
          <w:szCs w:val="22"/>
          <w:lang w:val="es-ES_tradnl"/>
        </w:rPr>
        <w:t>as</w:t>
      </w:r>
      <w:r w:rsidRPr="00E950F5">
        <w:rPr>
          <w:sz w:val="22"/>
          <w:szCs w:val="22"/>
          <w:lang w:val="es-ES_tradnl"/>
        </w:rPr>
        <w:t xml:space="preserve"> gonadal que impide que los ovarios se desarrollen. La estatura del sujeto tiende a ser baja y los caracteres sexuales secundarios están ausentes. </w:t>
      </w:r>
    </w:p>
    <w:p w14:paraId="59E61C38" w14:textId="26FAFB10" w:rsidR="003B23EE" w:rsidRPr="00E950F5" w:rsidRDefault="003B23EE" w:rsidP="00394E74">
      <w:pPr>
        <w:pStyle w:val="Prrafodelista"/>
        <w:numPr>
          <w:ilvl w:val="0"/>
          <w:numId w:val="13"/>
        </w:numPr>
        <w:spacing w:afterLines="200" w:after="480" w:line="360" w:lineRule="auto"/>
        <w:jc w:val="both"/>
        <w:rPr>
          <w:sz w:val="22"/>
          <w:szCs w:val="22"/>
          <w:lang w:val="es-ES_tradnl"/>
        </w:rPr>
      </w:pPr>
      <w:r w:rsidRPr="00B85C65">
        <w:rPr>
          <w:b/>
          <w:sz w:val="22"/>
          <w:szCs w:val="22"/>
          <w:lang w:val="es-ES_tradnl"/>
        </w:rPr>
        <w:t>Síndrome de Klinefelter</w:t>
      </w:r>
      <w:r>
        <w:rPr>
          <w:b/>
          <w:sz w:val="22"/>
          <w:szCs w:val="22"/>
          <w:lang w:val="es-ES_tradnl"/>
        </w:rPr>
        <w:t xml:space="preserve"> (códigos Q98-0-4 del CIE-10)</w:t>
      </w:r>
      <w:r w:rsidRPr="00E950F5">
        <w:rPr>
          <w:sz w:val="22"/>
          <w:szCs w:val="22"/>
          <w:lang w:val="es-ES_tradnl"/>
        </w:rPr>
        <w:t xml:space="preserve">: este síndrome responde a las mismas causas que el </w:t>
      </w:r>
      <w:r w:rsidR="004946C6" w:rsidRPr="00E950F5">
        <w:rPr>
          <w:sz w:val="22"/>
          <w:szCs w:val="22"/>
          <w:lang w:val="es-ES_tradnl"/>
        </w:rPr>
        <w:t>anterior,</w:t>
      </w:r>
      <w:r w:rsidRPr="00E950F5">
        <w:rPr>
          <w:sz w:val="22"/>
          <w:szCs w:val="22"/>
          <w:lang w:val="es-ES_tradnl"/>
        </w:rPr>
        <w:t xml:space="preserve"> pero a la inversa: el varón posee un cromosoma X de más (suele etiquetarse con las siglas XXY). Se </w:t>
      </w:r>
      <w:r>
        <w:rPr>
          <w:sz w:val="22"/>
          <w:szCs w:val="22"/>
          <w:lang w:val="es-ES_tradnl"/>
        </w:rPr>
        <w:t xml:space="preserve">trata de una forma de </w:t>
      </w:r>
      <w:r w:rsidR="004946C6">
        <w:rPr>
          <w:sz w:val="22"/>
          <w:szCs w:val="22"/>
          <w:lang w:val="es-ES_tradnl"/>
        </w:rPr>
        <w:t>disgenesias</w:t>
      </w:r>
      <w:r w:rsidRPr="00E950F5">
        <w:rPr>
          <w:sz w:val="22"/>
          <w:szCs w:val="22"/>
          <w:lang w:val="es-ES_tradnl"/>
        </w:rPr>
        <w:t xml:space="preserve"> gonadal esterilizante</w:t>
      </w:r>
      <w:r>
        <w:rPr>
          <w:sz w:val="22"/>
          <w:szCs w:val="22"/>
          <w:lang w:val="es-ES_tradnl"/>
        </w:rPr>
        <w:t>.</w:t>
      </w:r>
    </w:p>
    <w:p w14:paraId="6BD57E09" w14:textId="77777777" w:rsidR="0049257B" w:rsidRDefault="0049257B" w:rsidP="00394E74">
      <w:pPr>
        <w:tabs>
          <w:tab w:val="left" w:pos="1267"/>
        </w:tabs>
        <w:spacing w:afterLines="200" w:after="480" w:line="360" w:lineRule="auto"/>
        <w:jc w:val="both"/>
        <w:rPr>
          <w:rFonts w:asciiTheme="minorHAnsi" w:hAnsiTheme="minorHAnsi"/>
          <w:sz w:val="22"/>
          <w:szCs w:val="22"/>
        </w:rPr>
      </w:pPr>
    </w:p>
    <w:p w14:paraId="78511C79" w14:textId="767590E5" w:rsidR="003B23EE" w:rsidRPr="003B23EE" w:rsidRDefault="0049257B" w:rsidP="00394E74">
      <w:pPr>
        <w:spacing w:afterLines="200" w:after="480" w:line="360" w:lineRule="auto"/>
        <w:jc w:val="both"/>
        <w:rPr>
          <w:rFonts w:asciiTheme="minorHAnsi" w:hAnsiTheme="minorHAnsi"/>
          <w:sz w:val="22"/>
          <w:szCs w:val="22"/>
        </w:rPr>
      </w:pPr>
      <w:r>
        <w:rPr>
          <w:rFonts w:asciiTheme="minorHAnsi" w:hAnsiTheme="minorHAnsi"/>
          <w:b/>
          <w:sz w:val="22"/>
          <w:szCs w:val="22"/>
        </w:rPr>
        <w:t>APÉNDICE II</w:t>
      </w:r>
      <w:r w:rsidR="003B23EE">
        <w:rPr>
          <w:rFonts w:asciiTheme="minorHAnsi" w:hAnsiTheme="minorHAnsi"/>
          <w:b/>
          <w:sz w:val="22"/>
          <w:szCs w:val="22"/>
        </w:rPr>
        <w:t xml:space="preserve">: Aspectos históricos de la </w:t>
      </w:r>
      <w:r w:rsidR="004946C6">
        <w:rPr>
          <w:rFonts w:asciiTheme="minorHAnsi" w:hAnsiTheme="minorHAnsi"/>
          <w:b/>
          <w:sz w:val="22"/>
          <w:szCs w:val="22"/>
        </w:rPr>
        <w:t>intersexualidad</w:t>
      </w:r>
    </w:p>
    <w:p w14:paraId="5ABE3BE0" w14:textId="77777777" w:rsidR="003E6F40" w:rsidRPr="00E25876" w:rsidRDefault="003B23EE" w:rsidP="00394E74">
      <w:pPr>
        <w:spacing w:afterLines="200" w:after="480" w:line="360" w:lineRule="auto"/>
        <w:jc w:val="both"/>
        <w:rPr>
          <w:sz w:val="22"/>
          <w:szCs w:val="22"/>
        </w:rPr>
      </w:pPr>
      <w:r>
        <w:rPr>
          <w:sz w:val="22"/>
          <w:szCs w:val="22"/>
        </w:rPr>
        <w:t>Según</w:t>
      </w:r>
      <w:r w:rsidRPr="00E25876">
        <w:rPr>
          <w:sz w:val="22"/>
          <w:szCs w:val="22"/>
        </w:rPr>
        <w:t xml:space="preserve"> la Sociedad </w:t>
      </w:r>
      <w:r>
        <w:rPr>
          <w:sz w:val="22"/>
          <w:szCs w:val="22"/>
        </w:rPr>
        <w:t>A</w:t>
      </w:r>
      <w:r w:rsidRPr="00E25876">
        <w:rPr>
          <w:sz w:val="22"/>
          <w:szCs w:val="22"/>
        </w:rPr>
        <w:t xml:space="preserve">mericana de </w:t>
      </w:r>
      <w:r>
        <w:rPr>
          <w:sz w:val="22"/>
          <w:szCs w:val="22"/>
        </w:rPr>
        <w:t>I</w:t>
      </w:r>
      <w:r w:rsidRPr="00E25876">
        <w:rPr>
          <w:sz w:val="22"/>
          <w:szCs w:val="22"/>
        </w:rPr>
        <w:t xml:space="preserve">ntersexualidad, ésta se </w:t>
      </w:r>
      <w:r>
        <w:rPr>
          <w:sz w:val="22"/>
          <w:szCs w:val="22"/>
        </w:rPr>
        <w:t>observa</w:t>
      </w:r>
      <w:r w:rsidRPr="00E25876">
        <w:rPr>
          <w:sz w:val="22"/>
          <w:szCs w:val="22"/>
        </w:rPr>
        <w:t xml:space="preserve"> </w:t>
      </w:r>
      <w:r>
        <w:rPr>
          <w:sz w:val="22"/>
          <w:szCs w:val="22"/>
        </w:rPr>
        <w:t>en 1</w:t>
      </w:r>
      <w:r w:rsidRPr="00E25876">
        <w:rPr>
          <w:sz w:val="22"/>
          <w:szCs w:val="22"/>
        </w:rPr>
        <w:t xml:space="preserve"> de cada 1500 nacimientos</w:t>
      </w:r>
      <w:r>
        <w:rPr>
          <w:sz w:val="22"/>
          <w:szCs w:val="22"/>
        </w:rPr>
        <w:t xml:space="preserve"> y se </w:t>
      </w:r>
      <w:r w:rsidRPr="00E25876">
        <w:rPr>
          <w:sz w:val="22"/>
          <w:szCs w:val="22"/>
        </w:rPr>
        <w:t xml:space="preserve">caracteriza por la existencia de unos genitales atípicos. La hiperplasia adrenal </w:t>
      </w:r>
      <w:r>
        <w:rPr>
          <w:sz w:val="22"/>
          <w:szCs w:val="22"/>
        </w:rPr>
        <w:t>y</w:t>
      </w:r>
      <w:r w:rsidRPr="00E25876">
        <w:rPr>
          <w:sz w:val="22"/>
          <w:szCs w:val="22"/>
        </w:rPr>
        <w:t xml:space="preserve"> el síndrome de Klinefelter son los </w:t>
      </w:r>
      <w:r>
        <w:rPr>
          <w:sz w:val="22"/>
          <w:szCs w:val="22"/>
        </w:rPr>
        <w:t>más frecuentes</w:t>
      </w:r>
      <w:r w:rsidRPr="00E25876">
        <w:rPr>
          <w:sz w:val="22"/>
          <w:szCs w:val="22"/>
        </w:rPr>
        <w:t xml:space="preserve"> en la </w:t>
      </w:r>
      <w:r>
        <w:rPr>
          <w:sz w:val="22"/>
          <w:szCs w:val="22"/>
        </w:rPr>
        <w:t xml:space="preserve">práctica </w:t>
      </w:r>
      <w:r w:rsidRPr="00E25876">
        <w:rPr>
          <w:sz w:val="22"/>
          <w:szCs w:val="22"/>
        </w:rPr>
        <w:t>clínica, pudiendo causar clitoromegalia o “micropenes”.</w:t>
      </w:r>
    </w:p>
    <w:p w14:paraId="4F0BEC32" w14:textId="77777777" w:rsidR="003E6F40" w:rsidRDefault="003B23EE" w:rsidP="00394E74">
      <w:pPr>
        <w:spacing w:afterLines="200" w:after="480" w:line="360" w:lineRule="auto"/>
        <w:jc w:val="both"/>
        <w:rPr>
          <w:sz w:val="22"/>
          <w:szCs w:val="22"/>
        </w:rPr>
      </w:pPr>
      <w:r w:rsidRPr="00836494">
        <w:rPr>
          <w:sz w:val="22"/>
          <w:szCs w:val="22"/>
        </w:rPr>
        <w:t xml:space="preserve">Los aspectos históricos más relevantes para el tratamiento de bebés intersexuales se remontan a la década de los años 50, </w:t>
      </w:r>
      <w:r>
        <w:rPr>
          <w:sz w:val="22"/>
          <w:szCs w:val="22"/>
        </w:rPr>
        <w:t>en concreto al</w:t>
      </w:r>
      <w:r w:rsidRPr="00836494">
        <w:rPr>
          <w:sz w:val="22"/>
          <w:szCs w:val="22"/>
        </w:rPr>
        <w:t xml:space="preserve"> doctor John Money</w:t>
      </w:r>
      <w:r>
        <w:rPr>
          <w:sz w:val="22"/>
          <w:szCs w:val="22"/>
        </w:rPr>
        <w:t>, de</w:t>
      </w:r>
      <w:r w:rsidRPr="00836494">
        <w:rPr>
          <w:sz w:val="22"/>
          <w:szCs w:val="22"/>
        </w:rPr>
        <w:t xml:space="preserve"> la Universidad John Hopkins. El enfoque ahora conocido como “</w:t>
      </w:r>
      <w:proofErr w:type="spellStart"/>
      <w:r w:rsidRPr="00836494">
        <w:rPr>
          <w:sz w:val="22"/>
          <w:szCs w:val="22"/>
        </w:rPr>
        <w:t>optimal</w:t>
      </w:r>
      <w:proofErr w:type="spellEnd"/>
      <w:r w:rsidRPr="00836494">
        <w:rPr>
          <w:sz w:val="22"/>
          <w:szCs w:val="22"/>
        </w:rPr>
        <w:t xml:space="preserve"> </w:t>
      </w:r>
      <w:proofErr w:type="spellStart"/>
      <w:r w:rsidRPr="00836494">
        <w:rPr>
          <w:sz w:val="22"/>
          <w:szCs w:val="22"/>
        </w:rPr>
        <w:t>gender</w:t>
      </w:r>
      <w:proofErr w:type="spellEnd"/>
      <w:r w:rsidRPr="00836494">
        <w:rPr>
          <w:sz w:val="22"/>
          <w:szCs w:val="22"/>
        </w:rPr>
        <w:t xml:space="preserve"> </w:t>
      </w:r>
      <w:proofErr w:type="spellStart"/>
      <w:r w:rsidRPr="00836494">
        <w:rPr>
          <w:sz w:val="22"/>
          <w:szCs w:val="22"/>
        </w:rPr>
        <w:t>of</w:t>
      </w:r>
      <w:proofErr w:type="spellEnd"/>
      <w:r w:rsidRPr="00836494">
        <w:rPr>
          <w:sz w:val="22"/>
          <w:szCs w:val="22"/>
        </w:rPr>
        <w:t xml:space="preserve"> </w:t>
      </w:r>
      <w:proofErr w:type="spellStart"/>
      <w:r w:rsidRPr="00836494">
        <w:rPr>
          <w:sz w:val="22"/>
          <w:szCs w:val="22"/>
        </w:rPr>
        <w:t>rearing</w:t>
      </w:r>
      <w:proofErr w:type="spellEnd"/>
      <w:r w:rsidRPr="00836494">
        <w:rPr>
          <w:sz w:val="22"/>
          <w:szCs w:val="22"/>
        </w:rPr>
        <w:t>” (“desarrollo óptimo de género”)</w:t>
      </w:r>
      <w:r>
        <w:rPr>
          <w:sz w:val="22"/>
          <w:szCs w:val="22"/>
        </w:rPr>
        <w:t>,</w:t>
      </w:r>
      <w:r w:rsidRPr="00836494">
        <w:rPr>
          <w:sz w:val="22"/>
          <w:szCs w:val="22"/>
        </w:rPr>
        <w:t xml:space="preserve"> o protocolo Money, afirmaba que el género es flexible e</w:t>
      </w:r>
      <w:r>
        <w:rPr>
          <w:sz w:val="22"/>
          <w:szCs w:val="22"/>
        </w:rPr>
        <w:t>n</w:t>
      </w:r>
      <w:r w:rsidRPr="00836494">
        <w:rPr>
          <w:sz w:val="22"/>
          <w:szCs w:val="22"/>
        </w:rPr>
        <w:t xml:space="preserve"> la primera infancia y que la educación social podría cimentar la identidad de género en mayor medida que la biológica. Por </w:t>
      </w:r>
      <w:r>
        <w:rPr>
          <w:sz w:val="22"/>
          <w:szCs w:val="22"/>
        </w:rPr>
        <w:t>eso</w:t>
      </w:r>
      <w:r w:rsidR="003E6F40">
        <w:rPr>
          <w:sz w:val="22"/>
          <w:szCs w:val="22"/>
        </w:rPr>
        <w:t>, dicho</w:t>
      </w:r>
      <w:r w:rsidRPr="00836494">
        <w:rPr>
          <w:sz w:val="22"/>
          <w:szCs w:val="22"/>
        </w:rPr>
        <w:t xml:space="preserve"> protocolo proponía que la ingeniería social de género debía acompañarse de un “alineamiento” de los “órganos genitales anormales”, de modo que éstos fueran coherentes con el género asignado. Para ello, proponía que los niños varones (cromosómicos) con micropene fueran reasignados </w:t>
      </w:r>
      <w:r>
        <w:rPr>
          <w:sz w:val="22"/>
          <w:szCs w:val="22"/>
        </w:rPr>
        <w:t xml:space="preserve">rápidamente </w:t>
      </w:r>
      <w:r w:rsidRPr="00836494">
        <w:rPr>
          <w:sz w:val="22"/>
          <w:szCs w:val="22"/>
        </w:rPr>
        <w:t>al sexo femenino y que su</w:t>
      </w:r>
      <w:r>
        <w:rPr>
          <w:sz w:val="22"/>
          <w:szCs w:val="22"/>
        </w:rPr>
        <w:t xml:space="preserve"> pene </w:t>
      </w:r>
      <w:r w:rsidRPr="00836494">
        <w:rPr>
          <w:sz w:val="22"/>
          <w:szCs w:val="22"/>
        </w:rPr>
        <w:t xml:space="preserve">fuese reconstruido al tamaño de un clítoris. Además, </w:t>
      </w:r>
      <w:r>
        <w:rPr>
          <w:sz w:val="22"/>
          <w:szCs w:val="22"/>
        </w:rPr>
        <w:t>Money</w:t>
      </w:r>
      <w:r w:rsidRPr="00836494">
        <w:rPr>
          <w:sz w:val="22"/>
          <w:szCs w:val="22"/>
        </w:rPr>
        <w:t xml:space="preserve"> recomendaba que las nuevas “niñas” vistiesen de color rosa y </w:t>
      </w:r>
      <w:r>
        <w:rPr>
          <w:sz w:val="22"/>
          <w:szCs w:val="22"/>
        </w:rPr>
        <w:t>fueran estimuladas con</w:t>
      </w:r>
      <w:r w:rsidRPr="00836494">
        <w:rPr>
          <w:sz w:val="22"/>
          <w:szCs w:val="22"/>
        </w:rPr>
        <w:t xml:space="preserve"> conductas sociales tradicionalmente femeninas. Afortunadamente este </w:t>
      </w:r>
      <w:r>
        <w:rPr>
          <w:sz w:val="22"/>
          <w:szCs w:val="22"/>
        </w:rPr>
        <w:t xml:space="preserve">planteamiento médico fue </w:t>
      </w:r>
      <w:r w:rsidRPr="00836494">
        <w:rPr>
          <w:sz w:val="22"/>
          <w:szCs w:val="22"/>
        </w:rPr>
        <w:t>criticado y no fomentado. Es</w:t>
      </w:r>
      <w:r>
        <w:rPr>
          <w:sz w:val="22"/>
          <w:szCs w:val="22"/>
        </w:rPr>
        <w:t xml:space="preserve"> evidente, desde el punto de vista médico, </w:t>
      </w:r>
      <w:r w:rsidRPr="00836494">
        <w:rPr>
          <w:sz w:val="22"/>
          <w:szCs w:val="22"/>
        </w:rPr>
        <w:t>que la alteración del tejido genital no cambia el sexo de un individuo. Por otra parte, los cambios genitales</w:t>
      </w:r>
      <w:r>
        <w:rPr>
          <w:sz w:val="22"/>
          <w:szCs w:val="22"/>
        </w:rPr>
        <w:t xml:space="preserve"> quirúrgicos, asociados a cambios en las </w:t>
      </w:r>
      <w:r w:rsidRPr="00836494">
        <w:rPr>
          <w:sz w:val="22"/>
          <w:szCs w:val="22"/>
        </w:rPr>
        <w:t xml:space="preserve">costumbres sociales no consiguen alterar la identidad </w:t>
      </w:r>
      <w:r>
        <w:rPr>
          <w:sz w:val="22"/>
          <w:szCs w:val="22"/>
        </w:rPr>
        <w:t xml:space="preserve">sexual </w:t>
      </w:r>
      <w:r w:rsidRPr="00836494">
        <w:rPr>
          <w:sz w:val="22"/>
          <w:szCs w:val="22"/>
        </w:rPr>
        <w:t>del niño.</w:t>
      </w:r>
    </w:p>
    <w:p w14:paraId="1771229E" w14:textId="77777777" w:rsidR="0049257B" w:rsidRDefault="003B23EE" w:rsidP="00394E74">
      <w:pPr>
        <w:spacing w:afterLines="200" w:after="480" w:line="360" w:lineRule="auto"/>
        <w:jc w:val="both"/>
        <w:rPr>
          <w:rFonts w:asciiTheme="minorHAnsi" w:hAnsiTheme="minorHAnsi"/>
          <w:sz w:val="22"/>
          <w:szCs w:val="22"/>
        </w:rPr>
      </w:pPr>
      <w:r w:rsidRPr="00E25876">
        <w:rPr>
          <w:sz w:val="22"/>
          <w:szCs w:val="22"/>
        </w:rPr>
        <w:t xml:space="preserve">La justificación de estos procedimientos tradicionales </w:t>
      </w:r>
      <w:r>
        <w:rPr>
          <w:sz w:val="22"/>
          <w:szCs w:val="22"/>
        </w:rPr>
        <w:t>descansaba</w:t>
      </w:r>
      <w:r w:rsidRPr="00E25876">
        <w:rPr>
          <w:sz w:val="22"/>
          <w:szCs w:val="22"/>
        </w:rPr>
        <w:t xml:space="preserve"> en la idea de que la intersexualidad es una situación patológica</w:t>
      </w:r>
      <w:r>
        <w:rPr>
          <w:sz w:val="22"/>
          <w:szCs w:val="22"/>
        </w:rPr>
        <w:t xml:space="preserve"> y</w:t>
      </w:r>
      <w:r w:rsidRPr="00E25876">
        <w:rPr>
          <w:sz w:val="22"/>
          <w:szCs w:val="22"/>
        </w:rPr>
        <w:t xml:space="preserve"> que sexo y género deben ser alineados inmediatamente por </w:t>
      </w:r>
      <w:r>
        <w:rPr>
          <w:sz w:val="22"/>
          <w:szCs w:val="22"/>
        </w:rPr>
        <w:t>miedo a que si el niño permanecía</w:t>
      </w:r>
      <w:r w:rsidRPr="00E25876">
        <w:rPr>
          <w:sz w:val="22"/>
          <w:szCs w:val="22"/>
        </w:rPr>
        <w:t xml:space="preserve"> en un est</w:t>
      </w:r>
      <w:r>
        <w:rPr>
          <w:sz w:val="22"/>
          <w:szCs w:val="22"/>
        </w:rPr>
        <w:t xml:space="preserve">ado intersexual podía sufrir trastornos psiquiátricos </w:t>
      </w:r>
      <w:r w:rsidRPr="00E25876">
        <w:rPr>
          <w:sz w:val="22"/>
          <w:szCs w:val="22"/>
        </w:rPr>
        <w:t xml:space="preserve">en el futuro </w:t>
      </w:r>
      <w:r>
        <w:rPr>
          <w:sz w:val="22"/>
          <w:szCs w:val="22"/>
        </w:rPr>
        <w:t xml:space="preserve">e </w:t>
      </w:r>
      <w:r w:rsidRPr="00E25876">
        <w:rPr>
          <w:sz w:val="22"/>
          <w:szCs w:val="22"/>
        </w:rPr>
        <w:t xml:space="preserve">incluso tendencias </w:t>
      </w:r>
      <w:r>
        <w:rPr>
          <w:sz w:val="22"/>
          <w:szCs w:val="22"/>
        </w:rPr>
        <w:t>suicidas</w:t>
      </w:r>
      <w:r w:rsidRPr="00E25876">
        <w:rPr>
          <w:sz w:val="22"/>
          <w:szCs w:val="22"/>
        </w:rPr>
        <w:t>. Sin embargo</w:t>
      </w:r>
      <w:r>
        <w:rPr>
          <w:sz w:val="22"/>
          <w:szCs w:val="22"/>
        </w:rPr>
        <w:t>,</w:t>
      </w:r>
      <w:r w:rsidRPr="00E25876">
        <w:rPr>
          <w:sz w:val="22"/>
          <w:szCs w:val="22"/>
        </w:rPr>
        <w:t xml:space="preserve"> existen estudios que no han demostrado correlación entre la ambigüedad genital y el </w:t>
      </w:r>
      <w:proofErr w:type="spellStart"/>
      <w:r w:rsidRPr="00E25876">
        <w:rPr>
          <w:sz w:val="22"/>
          <w:szCs w:val="22"/>
        </w:rPr>
        <w:t>distress</w:t>
      </w:r>
      <w:proofErr w:type="spellEnd"/>
      <w:r w:rsidRPr="00E25876">
        <w:rPr>
          <w:sz w:val="22"/>
          <w:szCs w:val="22"/>
        </w:rPr>
        <w:t xml:space="preserve"> psicosocial en personas intersexuales</w:t>
      </w:r>
      <w:r>
        <w:rPr>
          <w:rStyle w:val="Refdenotaalpie"/>
          <w:sz w:val="22"/>
          <w:szCs w:val="22"/>
        </w:rPr>
        <w:footnoteReference w:id="16"/>
      </w:r>
      <w:r w:rsidRPr="00AE42EC">
        <w:rPr>
          <w:i/>
          <w:sz w:val="16"/>
          <w:szCs w:val="16"/>
        </w:rPr>
        <w:t>.</w:t>
      </w:r>
      <w:r w:rsidRPr="00AE42EC">
        <w:rPr>
          <w:sz w:val="22"/>
          <w:szCs w:val="22"/>
        </w:rPr>
        <w:t xml:space="preserve"> </w:t>
      </w:r>
      <w:r w:rsidRPr="00E25876">
        <w:rPr>
          <w:sz w:val="22"/>
          <w:szCs w:val="22"/>
        </w:rPr>
        <w:t>Las actuaciones médicas de la intersexualidad a menudo han sido incoherentes con la medicina centrada en la persona</w:t>
      </w:r>
      <w:r>
        <w:rPr>
          <w:rStyle w:val="Refdecomentario"/>
        </w:rPr>
        <w:t>.</w:t>
      </w:r>
      <w:r w:rsidRPr="003E6F40">
        <w:rPr>
          <w:rStyle w:val="Refdenotaalpie"/>
          <w:sz w:val="22"/>
          <w:szCs w:val="22"/>
        </w:rPr>
        <w:footnoteReference w:id="17"/>
      </w:r>
    </w:p>
    <w:p w14:paraId="6A49C2D0" w14:textId="77777777" w:rsidR="00FE0C47" w:rsidRDefault="00FE0C47" w:rsidP="00394E74">
      <w:pPr>
        <w:spacing w:afterLines="200" w:after="480" w:line="360" w:lineRule="auto"/>
        <w:jc w:val="both"/>
        <w:rPr>
          <w:rFonts w:asciiTheme="minorHAnsi" w:hAnsiTheme="minorHAnsi"/>
          <w:sz w:val="22"/>
          <w:szCs w:val="22"/>
        </w:rPr>
      </w:pPr>
    </w:p>
    <w:p w14:paraId="2AC3A757" w14:textId="77777777" w:rsidR="00FE0C47" w:rsidRPr="00394E74" w:rsidRDefault="0037273E" w:rsidP="00394E74">
      <w:pPr>
        <w:pStyle w:val="Propio3"/>
        <w:numPr>
          <w:ilvl w:val="0"/>
          <w:numId w:val="0"/>
        </w:numPr>
        <w:spacing w:afterLines="200" w:after="480"/>
        <w:rPr>
          <w:rFonts w:asciiTheme="minorHAnsi" w:hAnsiTheme="minorHAnsi" w:cstheme="minorHAnsi"/>
          <w:sz w:val="22"/>
          <w:szCs w:val="22"/>
          <w:u w:val="none"/>
        </w:rPr>
      </w:pPr>
      <w:r w:rsidRPr="0037273E">
        <w:rPr>
          <w:rFonts w:asciiTheme="minorHAnsi" w:hAnsiTheme="minorHAnsi" w:cstheme="minorHAnsi"/>
          <w:sz w:val="22"/>
          <w:szCs w:val="22"/>
          <w:u w:val="none"/>
        </w:rPr>
        <w:t>Apéndice III. Recomendaciones del grupo alemán para el manejo de la intersexualidad en menores</w:t>
      </w:r>
    </w:p>
    <w:p w14:paraId="2EF77F29" w14:textId="77777777" w:rsidR="003E6F40" w:rsidRDefault="0037273E" w:rsidP="00394E74">
      <w:pPr>
        <w:spacing w:afterLines="200" w:after="480" w:line="360" w:lineRule="auto"/>
        <w:jc w:val="both"/>
        <w:rPr>
          <w:sz w:val="22"/>
          <w:szCs w:val="22"/>
        </w:rPr>
      </w:pPr>
      <w:r>
        <w:rPr>
          <w:sz w:val="22"/>
          <w:szCs w:val="22"/>
        </w:rPr>
        <w:t xml:space="preserve">El Grupo de Alemán de Estudio de la Intersexualidad desarrolló un conjunto de recomendaciones </w:t>
      </w:r>
      <w:proofErr w:type="gramStart"/>
      <w:r>
        <w:rPr>
          <w:sz w:val="22"/>
          <w:szCs w:val="22"/>
        </w:rPr>
        <w:t>en relación al</w:t>
      </w:r>
      <w:proofErr w:type="gramEnd"/>
      <w:r>
        <w:rPr>
          <w:sz w:val="22"/>
          <w:szCs w:val="22"/>
        </w:rPr>
        <w:t xml:space="preserve"> manejo de los niños intersexuales</w:t>
      </w:r>
      <w:r>
        <w:rPr>
          <w:rStyle w:val="Refdenotaalpie"/>
          <w:sz w:val="22"/>
          <w:szCs w:val="22"/>
        </w:rPr>
        <w:footnoteReference w:id="18"/>
      </w:r>
      <w:r>
        <w:rPr>
          <w:sz w:val="22"/>
          <w:szCs w:val="22"/>
        </w:rPr>
        <w:t xml:space="preserve"> y entre las que se incluyen:</w:t>
      </w:r>
    </w:p>
    <w:p w14:paraId="67D61777" w14:textId="77777777" w:rsidR="0037273E" w:rsidRPr="003E6F40" w:rsidRDefault="0037273E" w:rsidP="00394E74">
      <w:pPr>
        <w:pStyle w:val="Prrafodelista"/>
        <w:numPr>
          <w:ilvl w:val="0"/>
          <w:numId w:val="26"/>
        </w:numPr>
        <w:spacing w:afterLines="200" w:after="480" w:line="360" w:lineRule="auto"/>
        <w:jc w:val="both"/>
        <w:rPr>
          <w:sz w:val="22"/>
          <w:szCs w:val="22"/>
        </w:rPr>
      </w:pPr>
      <w:r w:rsidRPr="003E6F40">
        <w:rPr>
          <w:sz w:val="22"/>
          <w:szCs w:val="22"/>
        </w:rPr>
        <w:t>El problema de la diferenciación sexual no requiere, per se, una corrección rápida en recién nacidos ni se trata de una emergencia quirúrgica, sino en general de una urgencia psicosocial.</w:t>
      </w:r>
    </w:p>
    <w:p w14:paraId="1B4F2CB0" w14:textId="77777777" w:rsidR="0037273E" w:rsidRPr="003E6F40" w:rsidRDefault="0037273E" w:rsidP="00394E74">
      <w:pPr>
        <w:pStyle w:val="Prrafodelista"/>
        <w:numPr>
          <w:ilvl w:val="0"/>
          <w:numId w:val="26"/>
        </w:numPr>
        <w:spacing w:afterLines="200" w:after="480" w:line="360" w:lineRule="auto"/>
        <w:jc w:val="both"/>
        <w:rPr>
          <w:sz w:val="22"/>
          <w:szCs w:val="22"/>
        </w:rPr>
      </w:pPr>
      <w:r w:rsidRPr="003E6F40">
        <w:rPr>
          <w:sz w:val="22"/>
          <w:szCs w:val="22"/>
        </w:rPr>
        <w:t>Debe realizarse una planificación consensuada de las pautas terapéuticas en los casos de niños intersexuales con una aproximación multidisciplinar por parte del equipo de salud junto con los padres.</w:t>
      </w:r>
    </w:p>
    <w:p w14:paraId="47722A76" w14:textId="77777777" w:rsidR="0037273E" w:rsidRPr="003E6F40" w:rsidRDefault="0037273E" w:rsidP="00394E74">
      <w:pPr>
        <w:pStyle w:val="Prrafodelista"/>
        <w:numPr>
          <w:ilvl w:val="0"/>
          <w:numId w:val="26"/>
        </w:numPr>
        <w:spacing w:afterLines="200" w:after="480" w:line="360" w:lineRule="auto"/>
        <w:jc w:val="both"/>
        <w:rPr>
          <w:sz w:val="22"/>
          <w:szCs w:val="22"/>
        </w:rPr>
      </w:pPr>
      <w:r w:rsidRPr="003E6F40">
        <w:rPr>
          <w:sz w:val="22"/>
          <w:szCs w:val="22"/>
        </w:rPr>
        <w:t>El bienestar del niño no está automáticamente asegurado por el cambio de los genitales externos.</w:t>
      </w:r>
    </w:p>
    <w:p w14:paraId="01D3D87F" w14:textId="77777777" w:rsidR="0037273E" w:rsidRPr="003E6F40" w:rsidRDefault="0037273E" w:rsidP="00394E74">
      <w:pPr>
        <w:pStyle w:val="Prrafodelista"/>
        <w:numPr>
          <w:ilvl w:val="0"/>
          <w:numId w:val="26"/>
        </w:numPr>
        <w:spacing w:afterLines="200" w:after="480" w:line="360" w:lineRule="auto"/>
        <w:jc w:val="both"/>
        <w:rPr>
          <w:sz w:val="22"/>
          <w:szCs w:val="22"/>
        </w:rPr>
      </w:pPr>
      <w:r w:rsidRPr="003E6F40">
        <w:rPr>
          <w:sz w:val="22"/>
          <w:szCs w:val="22"/>
        </w:rPr>
        <w:t>Debe fomentarse un planteamiento terapéutico en el que se incluya la aceptación del problema de diferenciación sexual, orientando las terapéuticas a largo plazo y propiciando el diálogo de situación entre el menor intersexual y sus padres</w:t>
      </w:r>
      <w:r>
        <w:rPr>
          <w:rStyle w:val="Refdenotaalpie"/>
          <w:sz w:val="22"/>
          <w:szCs w:val="22"/>
        </w:rPr>
        <w:footnoteReference w:id="19"/>
      </w:r>
      <w:r w:rsidRPr="003E6F40">
        <w:rPr>
          <w:sz w:val="22"/>
          <w:szCs w:val="22"/>
        </w:rPr>
        <w:t>.</w:t>
      </w:r>
    </w:p>
    <w:p w14:paraId="37253BA1" w14:textId="77777777" w:rsidR="0037273E" w:rsidRPr="003E6F40" w:rsidRDefault="0037273E" w:rsidP="00394E74">
      <w:pPr>
        <w:pStyle w:val="Prrafodelista"/>
        <w:numPr>
          <w:ilvl w:val="0"/>
          <w:numId w:val="26"/>
        </w:numPr>
        <w:spacing w:afterLines="200" w:after="480" w:line="360" w:lineRule="auto"/>
        <w:jc w:val="both"/>
        <w:rPr>
          <w:sz w:val="22"/>
          <w:szCs w:val="22"/>
        </w:rPr>
      </w:pPr>
      <w:r w:rsidRPr="003E6F40">
        <w:rPr>
          <w:sz w:val="22"/>
          <w:szCs w:val="22"/>
        </w:rPr>
        <w:t>Todas las intervenciones terapéuticas deben basarse en un diagnóstico clínico exhaustivo.</w:t>
      </w:r>
    </w:p>
    <w:p w14:paraId="2A6D71E0" w14:textId="77777777" w:rsidR="0037273E" w:rsidRPr="003E6F40" w:rsidRDefault="0037273E" w:rsidP="00394E74">
      <w:pPr>
        <w:pStyle w:val="Prrafodelista"/>
        <w:numPr>
          <w:ilvl w:val="0"/>
          <w:numId w:val="26"/>
        </w:numPr>
        <w:spacing w:afterLines="200" w:after="480" w:line="360" w:lineRule="auto"/>
        <w:jc w:val="both"/>
        <w:rPr>
          <w:sz w:val="22"/>
          <w:szCs w:val="22"/>
        </w:rPr>
      </w:pPr>
      <w:r w:rsidRPr="003E6F40">
        <w:rPr>
          <w:sz w:val="22"/>
          <w:szCs w:val="22"/>
        </w:rPr>
        <w:t>Debe tenerse en cuenta que actualmente no hay evidencia médica concluyente que apoye todos los planes estratégicos posibles de menores intersexuales.</w:t>
      </w:r>
    </w:p>
    <w:p w14:paraId="43B65573" w14:textId="77777777" w:rsidR="0037273E" w:rsidRPr="003E6F40" w:rsidRDefault="0037273E" w:rsidP="00394E74">
      <w:pPr>
        <w:pStyle w:val="Prrafodelista"/>
        <w:numPr>
          <w:ilvl w:val="0"/>
          <w:numId w:val="26"/>
        </w:numPr>
        <w:spacing w:afterLines="200" w:after="480" w:line="360" w:lineRule="auto"/>
        <w:jc w:val="both"/>
        <w:rPr>
          <w:sz w:val="22"/>
          <w:szCs w:val="22"/>
        </w:rPr>
      </w:pPr>
      <w:r w:rsidRPr="003E6F40">
        <w:rPr>
          <w:sz w:val="22"/>
          <w:szCs w:val="22"/>
        </w:rPr>
        <w:t>El menor deberá ser informado en función de su capacidad y situación clínica, procurando que su opinión se base en la mejor información posible.</w:t>
      </w:r>
    </w:p>
    <w:p w14:paraId="44F8E3A9" w14:textId="77777777" w:rsidR="0037273E" w:rsidRPr="003E6F40" w:rsidRDefault="0037273E" w:rsidP="00394E74">
      <w:pPr>
        <w:pStyle w:val="Prrafodelista"/>
        <w:numPr>
          <w:ilvl w:val="0"/>
          <w:numId w:val="26"/>
        </w:numPr>
        <w:spacing w:afterLines="200" w:after="480" w:line="360" w:lineRule="auto"/>
        <w:jc w:val="both"/>
        <w:rPr>
          <w:rFonts w:asciiTheme="minorHAnsi" w:hAnsiTheme="minorHAnsi"/>
          <w:sz w:val="22"/>
          <w:szCs w:val="22"/>
        </w:rPr>
      </w:pPr>
      <w:r w:rsidRPr="003E6F40">
        <w:rPr>
          <w:sz w:val="22"/>
          <w:szCs w:val="22"/>
        </w:rPr>
        <w:t>Las actuaciones terapéuticas realizadas en menores intersexuales deben tener en cuenta que el futuro adulto puede pedir explicaciones sobre las mismas, por lo que deberán estar plenamente justificadas.</w:t>
      </w:r>
    </w:p>
    <w:p w14:paraId="65AC2E97" w14:textId="4A7DF3F6" w:rsidR="004B067C" w:rsidRPr="004946C6" w:rsidRDefault="003E6F40" w:rsidP="004946C6">
      <w:pPr>
        <w:spacing w:afterLines="200" w:after="480" w:line="360" w:lineRule="auto"/>
        <w:jc w:val="both"/>
        <w:rPr>
          <w:rFonts w:asciiTheme="minorHAnsi" w:hAnsiTheme="minorHAnsi"/>
          <w:sz w:val="22"/>
          <w:szCs w:val="22"/>
          <w:lang w:val="es-ES_tradnl"/>
        </w:rPr>
      </w:pPr>
      <w:r w:rsidRPr="004B067C">
        <w:rPr>
          <w:rFonts w:asciiTheme="minorHAnsi" w:hAnsiTheme="minorHAnsi"/>
          <w:sz w:val="22"/>
          <w:szCs w:val="22"/>
          <w:lang w:val="es-ES_tradnl"/>
        </w:rPr>
        <w:t xml:space="preserve"> </w:t>
      </w:r>
      <w:bookmarkStart w:id="0" w:name="_GoBack"/>
      <w:bookmarkEnd w:id="0"/>
    </w:p>
    <w:sectPr w:rsidR="004B067C" w:rsidRPr="004946C6" w:rsidSect="00267D0C">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95049" w14:textId="77777777" w:rsidR="00D35952" w:rsidRDefault="00D35952" w:rsidP="00971EF1">
      <w:r>
        <w:separator/>
      </w:r>
    </w:p>
  </w:endnote>
  <w:endnote w:type="continuationSeparator" w:id="0">
    <w:p w14:paraId="6342C4D1" w14:textId="77777777" w:rsidR="00D35952" w:rsidRDefault="00D35952" w:rsidP="00971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20F24" w14:textId="77777777" w:rsidR="00D6139A" w:rsidRDefault="00D6139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6049785"/>
      <w:docPartObj>
        <w:docPartGallery w:val="Page Numbers (Bottom of Page)"/>
        <w:docPartUnique/>
      </w:docPartObj>
    </w:sdtPr>
    <w:sdtEndPr/>
    <w:sdtContent>
      <w:p w14:paraId="7F5E6C5F" w14:textId="2E5D4154" w:rsidR="003B23EE" w:rsidRDefault="00D6139A">
        <w:pPr>
          <w:pStyle w:val="Piedepgina"/>
          <w:jc w:val="center"/>
        </w:pPr>
        <w:r>
          <w:fldChar w:fldCharType="begin"/>
        </w:r>
        <w:r>
          <w:instrText>PAGE   \* MERGEFORMAT</w:instrText>
        </w:r>
        <w:r>
          <w:fldChar w:fldCharType="separate"/>
        </w:r>
        <w:r w:rsidR="004946C6">
          <w:rPr>
            <w:noProof/>
          </w:rPr>
          <w:t>14</w:t>
        </w:r>
        <w:r>
          <w:rPr>
            <w:noProof/>
          </w:rPr>
          <w:fldChar w:fldCharType="end"/>
        </w:r>
      </w:p>
    </w:sdtContent>
  </w:sdt>
  <w:p w14:paraId="64706F6C" w14:textId="77777777" w:rsidR="003B23EE" w:rsidRDefault="003B23E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D2F2A" w14:textId="77777777" w:rsidR="00D6139A" w:rsidRDefault="00D6139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43964" w14:textId="77777777" w:rsidR="00D35952" w:rsidRDefault="00D35952" w:rsidP="00971EF1">
      <w:r>
        <w:separator/>
      </w:r>
    </w:p>
  </w:footnote>
  <w:footnote w:type="continuationSeparator" w:id="0">
    <w:p w14:paraId="3D482DF3" w14:textId="77777777" w:rsidR="00D35952" w:rsidRDefault="00D35952" w:rsidP="00971EF1">
      <w:r>
        <w:continuationSeparator/>
      </w:r>
    </w:p>
  </w:footnote>
  <w:footnote w:id="1">
    <w:p w14:paraId="12D31FED" w14:textId="2DE18782" w:rsidR="003B23EE" w:rsidRPr="003B23EE" w:rsidRDefault="003B23EE">
      <w:pPr>
        <w:pStyle w:val="Textonotapie"/>
        <w:rPr>
          <w:lang w:val="en-US"/>
        </w:rPr>
      </w:pPr>
      <w:r>
        <w:rPr>
          <w:rStyle w:val="Refdenotaalpie"/>
        </w:rPr>
        <w:footnoteRef/>
      </w:r>
      <w:r w:rsidRPr="003B23EE">
        <w:rPr>
          <w:lang w:val="en-US"/>
        </w:rPr>
        <w:t xml:space="preserve"> Ford, </w:t>
      </w:r>
      <w:proofErr w:type="spellStart"/>
      <w:r w:rsidRPr="003B23EE">
        <w:rPr>
          <w:lang w:val="en-US"/>
        </w:rPr>
        <w:t>Kishka</w:t>
      </w:r>
      <w:proofErr w:type="spellEnd"/>
      <w:r w:rsidRPr="003B23EE">
        <w:rPr>
          <w:lang w:val="en-US"/>
        </w:rPr>
        <w:t xml:space="preserve">-Kamari. “First, Do No Harm: The Fiction of Legal Parental Consent to Genital-Normalizing Surgery.” Yale Law and Policy Review 19.2 (2001): </w:t>
      </w:r>
      <w:r>
        <w:rPr>
          <w:lang w:val="en-US"/>
        </w:rPr>
        <w:t xml:space="preserve">469-488. JSTOR. Web. 7 May 2011 </w:t>
      </w:r>
      <w:r w:rsidRPr="003B23EE">
        <w:rPr>
          <w:lang w:val="en-US"/>
        </w:rPr>
        <w:t>&lt;</w:t>
      </w:r>
      <w:r w:rsidR="004946C6" w:rsidRPr="003B23EE">
        <w:rPr>
          <w:lang w:val="en-US"/>
        </w:rPr>
        <w:t>http://www.jstor.org/</w:t>
      </w:r>
      <w:r w:rsidR="004946C6">
        <w:rPr>
          <w:lang w:val="en-US"/>
        </w:rPr>
        <w:t>stable/40239572.</w:t>
      </w:r>
      <w:r w:rsidR="00FE0C47">
        <w:rPr>
          <w:lang w:val="en-US"/>
        </w:rPr>
        <w:t>&gt;. Page 477</w:t>
      </w:r>
    </w:p>
  </w:footnote>
  <w:footnote w:id="2">
    <w:p w14:paraId="487C7B9F" w14:textId="77777777" w:rsidR="003B23EE" w:rsidRPr="003B23EE" w:rsidRDefault="003B23EE">
      <w:pPr>
        <w:pStyle w:val="Textonotapie"/>
        <w:rPr>
          <w:lang w:val="en-US"/>
        </w:rPr>
      </w:pPr>
      <w:r>
        <w:rPr>
          <w:rStyle w:val="Refdenotaalpie"/>
        </w:rPr>
        <w:footnoteRef/>
      </w:r>
      <w:r w:rsidRPr="003B23EE">
        <w:rPr>
          <w:lang w:val="en-US"/>
        </w:rPr>
        <w:t xml:space="preserve"> De María Arana, Marcus. “A Human Rights Investigation into the Medical of ‘Normalization’ of Intersex People.” Human Rights Commission of the City and County of San Francisco 28 Apr. 2005: 1-110. Print. Page 31</w:t>
      </w:r>
    </w:p>
  </w:footnote>
  <w:footnote w:id="3">
    <w:p w14:paraId="6A9F6943" w14:textId="0D0E41E7" w:rsidR="0037273E" w:rsidRPr="0037273E" w:rsidRDefault="0037273E">
      <w:pPr>
        <w:pStyle w:val="Textonotapie"/>
        <w:rPr>
          <w:lang w:val="en-US"/>
        </w:rPr>
      </w:pPr>
      <w:r>
        <w:rPr>
          <w:rStyle w:val="Refdenotaalpie"/>
        </w:rPr>
        <w:footnoteRef/>
      </w:r>
      <w:r w:rsidRPr="0037273E">
        <w:rPr>
          <w:lang w:val="en-US"/>
        </w:rPr>
        <w:t xml:space="preserve"> Ford, </w:t>
      </w:r>
      <w:proofErr w:type="spellStart"/>
      <w:r w:rsidRPr="0037273E">
        <w:rPr>
          <w:lang w:val="en-US"/>
        </w:rPr>
        <w:t>Kishka</w:t>
      </w:r>
      <w:proofErr w:type="spellEnd"/>
      <w:r w:rsidRPr="0037273E">
        <w:rPr>
          <w:lang w:val="en-US"/>
        </w:rPr>
        <w:t>-Kamari. “First, Do No Harm: The Fiction of Legal Parental Consent to Genital-Normalizing Surgery.” Yale Law and Policy Review 19.2 (2001): 469-488. JSTOR. Web. 7 May 2011. &lt;</w:t>
      </w:r>
      <w:r w:rsidR="004946C6" w:rsidRPr="0037273E">
        <w:rPr>
          <w:lang w:val="en-US"/>
        </w:rPr>
        <w:t>http://www.jstor.org/stable/40239572.</w:t>
      </w:r>
      <w:r w:rsidRPr="0037273E">
        <w:rPr>
          <w:lang w:val="en-US"/>
        </w:rPr>
        <w:t>&gt;. Page 485</w:t>
      </w:r>
    </w:p>
  </w:footnote>
  <w:footnote w:id="4">
    <w:p w14:paraId="00961BC4" w14:textId="77777777" w:rsidR="0037273E" w:rsidRPr="0037273E" w:rsidRDefault="0037273E">
      <w:pPr>
        <w:pStyle w:val="Textonotapie"/>
        <w:rPr>
          <w:lang w:val="en-US"/>
        </w:rPr>
      </w:pPr>
      <w:r>
        <w:rPr>
          <w:rStyle w:val="Refdenotaalpie"/>
        </w:rPr>
        <w:footnoteRef/>
      </w:r>
      <w:r w:rsidRPr="0037273E">
        <w:rPr>
          <w:lang w:val="en-US"/>
        </w:rPr>
        <w:t xml:space="preserve"> </w:t>
      </w:r>
      <w:proofErr w:type="spellStart"/>
      <w:r w:rsidRPr="0037273E">
        <w:rPr>
          <w:lang w:val="en-US"/>
        </w:rPr>
        <w:t>Thyen</w:t>
      </w:r>
      <w:proofErr w:type="spellEnd"/>
      <w:r w:rsidRPr="0037273E">
        <w:rPr>
          <w:lang w:val="en-US"/>
        </w:rPr>
        <w:t xml:space="preserve"> U, Richter-</w:t>
      </w:r>
      <w:proofErr w:type="spellStart"/>
      <w:r w:rsidRPr="0037273E">
        <w:rPr>
          <w:lang w:val="en-US"/>
        </w:rPr>
        <w:t>Appelt</w:t>
      </w:r>
      <w:proofErr w:type="spellEnd"/>
      <w:r w:rsidRPr="0037273E">
        <w:rPr>
          <w:lang w:val="en-US"/>
        </w:rPr>
        <w:t xml:space="preserve"> H, </w:t>
      </w:r>
      <w:proofErr w:type="spellStart"/>
      <w:r w:rsidRPr="0037273E">
        <w:rPr>
          <w:lang w:val="en-US"/>
        </w:rPr>
        <w:t>Wiesemann</w:t>
      </w:r>
      <w:proofErr w:type="spellEnd"/>
      <w:r w:rsidRPr="0037273E">
        <w:rPr>
          <w:lang w:val="en-US"/>
        </w:rPr>
        <w:t xml:space="preserve"> C, </w:t>
      </w:r>
      <w:proofErr w:type="spellStart"/>
      <w:r w:rsidRPr="0037273E">
        <w:rPr>
          <w:lang w:val="en-US"/>
        </w:rPr>
        <w:t>Holterhus</w:t>
      </w:r>
      <w:proofErr w:type="spellEnd"/>
      <w:r w:rsidRPr="0037273E">
        <w:rPr>
          <w:lang w:val="en-US"/>
        </w:rPr>
        <w:t xml:space="preserve"> P-M, </w:t>
      </w:r>
      <w:proofErr w:type="spellStart"/>
      <w:r w:rsidRPr="0037273E">
        <w:rPr>
          <w:lang w:val="en-US"/>
        </w:rPr>
        <w:t>Hiort</w:t>
      </w:r>
      <w:proofErr w:type="spellEnd"/>
      <w:r w:rsidRPr="0037273E">
        <w:rPr>
          <w:lang w:val="en-US"/>
        </w:rPr>
        <w:t xml:space="preserve"> O (2005) Deciding on gender in children with intersex conditions. Considerations and controversies. Tr</w:t>
      </w:r>
      <w:r>
        <w:rPr>
          <w:lang w:val="en-US"/>
        </w:rPr>
        <w:t>eatments in Endocrinology 4:1–8</w:t>
      </w:r>
    </w:p>
  </w:footnote>
  <w:footnote w:id="5">
    <w:p w14:paraId="19B3DB50" w14:textId="77777777" w:rsidR="0037273E" w:rsidRPr="0037273E" w:rsidRDefault="0037273E">
      <w:pPr>
        <w:pStyle w:val="Textonotapie"/>
        <w:rPr>
          <w:lang w:val="en-US"/>
        </w:rPr>
      </w:pPr>
      <w:r>
        <w:rPr>
          <w:rStyle w:val="Refdenotaalpie"/>
        </w:rPr>
        <w:footnoteRef/>
      </w:r>
      <w:r w:rsidRPr="0037273E">
        <w:rPr>
          <w:lang w:val="en-US"/>
        </w:rPr>
        <w:t xml:space="preserve"> Chase C (1998) Surgical progress is not the answer to intersexuality. J </w:t>
      </w:r>
      <w:proofErr w:type="spellStart"/>
      <w:r w:rsidRPr="0037273E">
        <w:rPr>
          <w:lang w:val="en-US"/>
        </w:rPr>
        <w:t>Clin</w:t>
      </w:r>
      <w:proofErr w:type="spellEnd"/>
      <w:r w:rsidRPr="0037273E">
        <w:rPr>
          <w:lang w:val="en-US"/>
        </w:rPr>
        <w:t xml:space="preserve"> Ethics 9:385–392</w:t>
      </w:r>
    </w:p>
  </w:footnote>
  <w:footnote w:id="6">
    <w:p w14:paraId="23F14CE1" w14:textId="77777777" w:rsidR="0037273E" w:rsidRPr="00586DB6" w:rsidRDefault="0037273E">
      <w:pPr>
        <w:pStyle w:val="Textonotapie"/>
        <w:rPr>
          <w:lang w:val="en-US"/>
        </w:rPr>
      </w:pPr>
      <w:r>
        <w:rPr>
          <w:rStyle w:val="Refdenotaalpie"/>
        </w:rPr>
        <w:footnoteRef/>
      </w:r>
      <w:r w:rsidRPr="0037273E">
        <w:rPr>
          <w:lang w:val="en-US"/>
        </w:rPr>
        <w:t xml:space="preserve"> De María Arana, Marcus. “A Human Rights Investigation into the Medical of ‘Normalization’ of Intersex People.” Human Rights Commission of the City and County of San Francisco 28 Apr. 2005: 1-110. Print. Page 34.</w:t>
      </w:r>
    </w:p>
  </w:footnote>
  <w:footnote w:id="7">
    <w:p w14:paraId="7B1F1748" w14:textId="77777777" w:rsidR="00FE0C47" w:rsidRPr="00586DB6" w:rsidRDefault="00FE0C47" w:rsidP="00FE0C47">
      <w:pPr>
        <w:pStyle w:val="Textonotapie"/>
        <w:rPr>
          <w:lang w:val="en-US"/>
        </w:rPr>
      </w:pPr>
      <w:r>
        <w:rPr>
          <w:rStyle w:val="Refdenotaalpie"/>
        </w:rPr>
        <w:footnoteRef/>
      </w:r>
      <w:r w:rsidRPr="00586DB6">
        <w:rPr>
          <w:lang w:val="en-US"/>
        </w:rPr>
        <w:t xml:space="preserve"> </w:t>
      </w:r>
      <w:proofErr w:type="spellStart"/>
      <w:r w:rsidRPr="00586DB6">
        <w:rPr>
          <w:lang w:val="en-US"/>
        </w:rPr>
        <w:t>Wallien</w:t>
      </w:r>
      <w:proofErr w:type="spellEnd"/>
      <w:r w:rsidRPr="00586DB6">
        <w:rPr>
          <w:lang w:val="en-US"/>
        </w:rPr>
        <w:t xml:space="preserve"> MSC, Cohen-</w:t>
      </w:r>
      <w:proofErr w:type="spellStart"/>
      <w:r w:rsidRPr="00586DB6">
        <w:rPr>
          <w:lang w:val="en-US"/>
        </w:rPr>
        <w:t>Kettenis</w:t>
      </w:r>
      <w:proofErr w:type="spellEnd"/>
      <w:r w:rsidRPr="00586DB6">
        <w:rPr>
          <w:lang w:val="en-US"/>
        </w:rPr>
        <w:t xml:space="preserve"> PT. Psychosexual outcome of gender-dysphoric children. J Am </w:t>
      </w:r>
      <w:proofErr w:type="spellStart"/>
      <w:r w:rsidRPr="00586DB6">
        <w:rPr>
          <w:lang w:val="en-US"/>
        </w:rPr>
        <w:t>Acad</w:t>
      </w:r>
      <w:proofErr w:type="spellEnd"/>
      <w:r w:rsidRPr="00586DB6">
        <w:rPr>
          <w:lang w:val="en-US"/>
        </w:rPr>
        <w:t xml:space="preserve"> Child </w:t>
      </w:r>
      <w:proofErr w:type="spellStart"/>
      <w:r w:rsidRPr="00586DB6">
        <w:rPr>
          <w:lang w:val="en-US"/>
        </w:rPr>
        <w:t>Adolesc</w:t>
      </w:r>
      <w:proofErr w:type="spellEnd"/>
      <w:r w:rsidRPr="00586DB6">
        <w:rPr>
          <w:lang w:val="en-US"/>
        </w:rPr>
        <w:t xml:space="preserve"> Psychiatry 2008; 47(12): 1413-23.)</w:t>
      </w:r>
    </w:p>
  </w:footnote>
  <w:footnote w:id="8">
    <w:p w14:paraId="72CD2EE9" w14:textId="77777777" w:rsidR="00FE0C47" w:rsidRPr="00586DB6" w:rsidRDefault="00FE0C47" w:rsidP="00FE0C47">
      <w:pPr>
        <w:pStyle w:val="Textonotapie"/>
        <w:rPr>
          <w:lang w:val="en-US"/>
        </w:rPr>
      </w:pPr>
      <w:r>
        <w:rPr>
          <w:rStyle w:val="Refdenotaalpie"/>
        </w:rPr>
        <w:footnoteRef/>
      </w:r>
      <w:r w:rsidRPr="00586DB6">
        <w:rPr>
          <w:lang w:val="en-US"/>
        </w:rPr>
        <w:t xml:space="preserve"> </w:t>
      </w:r>
      <w:proofErr w:type="spellStart"/>
      <w:r w:rsidRPr="00586DB6">
        <w:rPr>
          <w:lang w:val="en-US"/>
        </w:rPr>
        <w:t>Steensma</w:t>
      </w:r>
      <w:proofErr w:type="spellEnd"/>
      <w:r w:rsidRPr="00586DB6">
        <w:rPr>
          <w:lang w:val="en-US"/>
        </w:rPr>
        <w:t xml:space="preserve"> TD, </w:t>
      </w:r>
      <w:proofErr w:type="spellStart"/>
      <w:r w:rsidRPr="00586DB6">
        <w:rPr>
          <w:lang w:val="en-US"/>
        </w:rPr>
        <w:t>Biemond</w:t>
      </w:r>
      <w:proofErr w:type="spellEnd"/>
      <w:r w:rsidRPr="00586DB6">
        <w:rPr>
          <w:lang w:val="en-US"/>
        </w:rPr>
        <w:t xml:space="preserve"> R, de Boer F, Cohen_ </w:t>
      </w:r>
      <w:proofErr w:type="spellStart"/>
      <w:r w:rsidRPr="00586DB6">
        <w:rPr>
          <w:lang w:val="en-US"/>
        </w:rPr>
        <w:t>kettenis</w:t>
      </w:r>
      <w:proofErr w:type="spellEnd"/>
      <w:r w:rsidRPr="00586DB6">
        <w:rPr>
          <w:lang w:val="en-US"/>
        </w:rPr>
        <w:t xml:space="preserve"> PT. Desisting and persisting gender dysphoria alter childhood: A qualitive follow-up study. </w:t>
      </w:r>
      <w:proofErr w:type="spellStart"/>
      <w:r w:rsidRPr="00586DB6">
        <w:rPr>
          <w:lang w:val="en-US"/>
        </w:rPr>
        <w:t>Clin</w:t>
      </w:r>
      <w:proofErr w:type="spellEnd"/>
      <w:r w:rsidRPr="00586DB6">
        <w:rPr>
          <w:lang w:val="en-US"/>
        </w:rPr>
        <w:t xml:space="preserve"> </w:t>
      </w:r>
      <w:proofErr w:type="spellStart"/>
      <w:r w:rsidRPr="00586DB6">
        <w:rPr>
          <w:lang w:val="en-US"/>
        </w:rPr>
        <w:t>Psychol</w:t>
      </w:r>
      <w:proofErr w:type="spellEnd"/>
      <w:r w:rsidRPr="00586DB6">
        <w:rPr>
          <w:lang w:val="en-US"/>
        </w:rPr>
        <w:t xml:space="preserve"> Psychiatry 2011;16(4):499- 516</w:t>
      </w:r>
    </w:p>
  </w:footnote>
  <w:footnote w:id="9">
    <w:p w14:paraId="448D8BB8" w14:textId="77777777" w:rsidR="00FE0C47" w:rsidRPr="00586DB6" w:rsidRDefault="00FE0C47" w:rsidP="00FE0C47">
      <w:pPr>
        <w:pStyle w:val="Textonotapie"/>
        <w:rPr>
          <w:lang w:val="en-US"/>
        </w:rPr>
      </w:pPr>
      <w:r>
        <w:rPr>
          <w:rStyle w:val="Refdenotaalpie"/>
        </w:rPr>
        <w:footnoteRef/>
      </w:r>
      <w:r w:rsidRPr="00586DB6">
        <w:rPr>
          <w:lang w:val="en-US"/>
        </w:rPr>
        <w:t xml:space="preserve"> Hewitt JK, Paul C, </w:t>
      </w:r>
      <w:proofErr w:type="spellStart"/>
      <w:r w:rsidRPr="00586DB6">
        <w:rPr>
          <w:lang w:val="en-US"/>
        </w:rPr>
        <w:t>Kasiannan</w:t>
      </w:r>
      <w:proofErr w:type="spellEnd"/>
      <w:r w:rsidRPr="00586DB6">
        <w:rPr>
          <w:lang w:val="en-US"/>
        </w:rPr>
        <w:t xml:space="preserve"> P, Grover SR, Newman LK, Warne GL. Hormone treatment of gender identity disorder in a cohort of children and adolescents. Med J </w:t>
      </w:r>
      <w:proofErr w:type="spellStart"/>
      <w:r w:rsidRPr="00586DB6">
        <w:rPr>
          <w:lang w:val="en-US"/>
        </w:rPr>
        <w:t>Aust</w:t>
      </w:r>
      <w:proofErr w:type="spellEnd"/>
      <w:r w:rsidRPr="00586DB6">
        <w:rPr>
          <w:lang w:val="en-US"/>
        </w:rPr>
        <w:t xml:space="preserve"> 2012;196(9):578- 581</w:t>
      </w:r>
    </w:p>
  </w:footnote>
  <w:footnote w:id="10">
    <w:p w14:paraId="0535DB0D" w14:textId="77777777" w:rsidR="00FE0C47" w:rsidRPr="00586DB6" w:rsidRDefault="00FE0C47" w:rsidP="00FE0C47">
      <w:pPr>
        <w:pStyle w:val="Textonotapie"/>
        <w:rPr>
          <w:lang w:val="en-US"/>
        </w:rPr>
      </w:pPr>
      <w:r>
        <w:rPr>
          <w:rStyle w:val="Refdenotaalpie"/>
        </w:rPr>
        <w:footnoteRef/>
      </w:r>
      <w:r w:rsidRPr="00586DB6">
        <w:rPr>
          <w:lang w:val="en-US"/>
        </w:rPr>
        <w:t xml:space="preserve"> </w:t>
      </w:r>
      <w:proofErr w:type="spellStart"/>
      <w:r w:rsidRPr="00586DB6">
        <w:rPr>
          <w:lang w:val="en-US"/>
        </w:rPr>
        <w:t>Steensma</w:t>
      </w:r>
      <w:proofErr w:type="spellEnd"/>
      <w:r w:rsidRPr="00586DB6">
        <w:rPr>
          <w:lang w:val="en-US"/>
        </w:rPr>
        <w:t xml:space="preserve"> TD, </w:t>
      </w:r>
      <w:proofErr w:type="spellStart"/>
      <w:r w:rsidRPr="00586DB6">
        <w:rPr>
          <w:lang w:val="en-US"/>
        </w:rPr>
        <w:t>Mcguire</w:t>
      </w:r>
      <w:proofErr w:type="spellEnd"/>
      <w:r w:rsidRPr="00586DB6">
        <w:rPr>
          <w:lang w:val="en-US"/>
        </w:rPr>
        <w:t xml:space="preserve"> JK, </w:t>
      </w:r>
      <w:proofErr w:type="spellStart"/>
      <w:r w:rsidRPr="00586DB6">
        <w:rPr>
          <w:lang w:val="en-US"/>
        </w:rPr>
        <w:t>Kreukels</w:t>
      </w:r>
      <w:proofErr w:type="spellEnd"/>
      <w:r w:rsidRPr="00586DB6">
        <w:rPr>
          <w:lang w:val="en-US"/>
        </w:rPr>
        <w:t xml:space="preserve"> BP, Beckman AJ, Cohen-</w:t>
      </w:r>
      <w:proofErr w:type="spellStart"/>
      <w:r w:rsidRPr="00586DB6">
        <w:rPr>
          <w:lang w:val="en-US"/>
        </w:rPr>
        <w:t>Kettenis</w:t>
      </w:r>
      <w:proofErr w:type="spellEnd"/>
      <w:r w:rsidRPr="00586DB6">
        <w:rPr>
          <w:lang w:val="en-US"/>
        </w:rPr>
        <w:t xml:space="preserve"> PT. Factors associated with desistence and </w:t>
      </w:r>
      <w:proofErr w:type="spellStart"/>
      <w:r w:rsidRPr="00586DB6">
        <w:rPr>
          <w:lang w:val="en-US"/>
        </w:rPr>
        <w:t>persistente</w:t>
      </w:r>
      <w:proofErr w:type="spellEnd"/>
      <w:r w:rsidRPr="00586DB6">
        <w:rPr>
          <w:lang w:val="en-US"/>
        </w:rPr>
        <w:t xml:space="preserve"> of childhood gender dysphoria: A quantitative follow-up study. J Am </w:t>
      </w:r>
      <w:proofErr w:type="spellStart"/>
      <w:r w:rsidRPr="00586DB6">
        <w:rPr>
          <w:lang w:val="en-US"/>
        </w:rPr>
        <w:t>Acad</w:t>
      </w:r>
      <w:proofErr w:type="spellEnd"/>
      <w:r w:rsidRPr="00586DB6">
        <w:rPr>
          <w:lang w:val="en-US"/>
        </w:rPr>
        <w:t xml:space="preserve"> Child </w:t>
      </w:r>
      <w:proofErr w:type="spellStart"/>
      <w:r w:rsidRPr="00586DB6">
        <w:rPr>
          <w:lang w:val="en-US"/>
        </w:rPr>
        <w:t>Adolesc</w:t>
      </w:r>
      <w:proofErr w:type="spellEnd"/>
      <w:r w:rsidRPr="00586DB6">
        <w:rPr>
          <w:lang w:val="en-US"/>
        </w:rPr>
        <w:t xml:space="preserve"> Psychiatry 2013;52(6):582-90</w:t>
      </w:r>
    </w:p>
  </w:footnote>
  <w:footnote w:id="11">
    <w:p w14:paraId="7E2146F4" w14:textId="77777777" w:rsidR="00FE0C47" w:rsidRPr="00FE0C47" w:rsidRDefault="00FE0C47" w:rsidP="00FE0C47">
      <w:pPr>
        <w:pStyle w:val="Textonotapie"/>
      </w:pPr>
      <w:r>
        <w:rPr>
          <w:rStyle w:val="Refdenotaalpie"/>
        </w:rPr>
        <w:footnoteRef/>
      </w:r>
      <w:r w:rsidRPr="00586DB6">
        <w:rPr>
          <w:lang w:val="en-US"/>
        </w:rPr>
        <w:t xml:space="preserve"> Drescher J, Pula J. Ethical Issues Raised by the Treatment of Gender-Variant Prepubescent Children. LGBT Bioethics: Visibility, Disparities and Dialogue, special report, </w:t>
      </w:r>
      <w:proofErr w:type="spellStart"/>
      <w:r w:rsidRPr="00586DB6">
        <w:rPr>
          <w:lang w:val="en-US"/>
        </w:rPr>
        <w:t>Heatings</w:t>
      </w:r>
      <w:proofErr w:type="spellEnd"/>
      <w:r w:rsidRPr="00586DB6">
        <w:rPr>
          <w:lang w:val="en-US"/>
        </w:rPr>
        <w:t xml:space="preserve"> Center Report 2014;44(5</w:t>
      </w:r>
      <w:proofErr w:type="gramStart"/>
      <w:r w:rsidRPr="00586DB6">
        <w:rPr>
          <w:lang w:val="en-US"/>
        </w:rPr>
        <w:t>):S</w:t>
      </w:r>
      <w:proofErr w:type="gramEnd"/>
      <w:r w:rsidRPr="00586DB6">
        <w:rPr>
          <w:lang w:val="en-US"/>
        </w:rPr>
        <w:t xml:space="preserve">17-S22. </w:t>
      </w:r>
      <w:r w:rsidRPr="00FE0C47">
        <w:t>DOI.10.1002/hast.365</w:t>
      </w:r>
    </w:p>
  </w:footnote>
  <w:footnote w:id="12">
    <w:p w14:paraId="5DABF88C" w14:textId="77777777" w:rsidR="00FE0C47" w:rsidRPr="00586DB6" w:rsidRDefault="00FE0C47" w:rsidP="00FE0C47">
      <w:pPr>
        <w:pStyle w:val="Textonotapie"/>
      </w:pPr>
      <w:r>
        <w:rPr>
          <w:rStyle w:val="Refdenotaalpie"/>
        </w:rPr>
        <w:footnoteRef/>
      </w:r>
      <w:r w:rsidRPr="00586DB6">
        <w:t xml:space="preserve"> Asenjo-Araque N, García-Gibert C, Rodríguez- Molina JM, Becerra-Fernández A, </w:t>
      </w:r>
      <w:proofErr w:type="spellStart"/>
      <w:r w:rsidRPr="00586DB6">
        <w:t>Lucio.Pérez</w:t>
      </w:r>
      <w:proofErr w:type="spellEnd"/>
      <w:r w:rsidRPr="00586DB6">
        <w:t xml:space="preserve"> MJ y Grupo GIDSEEN. Disforia de género en la infancia y adolescencia: una revisión de su abordaje</w:t>
      </w:r>
    </w:p>
  </w:footnote>
  <w:footnote w:id="13">
    <w:p w14:paraId="296B0115" w14:textId="77777777" w:rsidR="00586DB6" w:rsidRPr="00586DB6" w:rsidRDefault="00586DB6">
      <w:pPr>
        <w:pStyle w:val="Textonotapie"/>
        <w:rPr>
          <w:lang w:val="en-US"/>
        </w:rPr>
      </w:pPr>
      <w:r>
        <w:rPr>
          <w:rStyle w:val="Refdenotaalpie"/>
        </w:rPr>
        <w:footnoteRef/>
      </w:r>
      <w:r w:rsidRPr="00586DB6">
        <w:rPr>
          <w:lang w:val="en-US"/>
        </w:rPr>
        <w:t xml:space="preserve"> </w:t>
      </w:r>
      <w:proofErr w:type="spellStart"/>
      <w:r w:rsidRPr="00586DB6">
        <w:rPr>
          <w:lang w:val="en-US"/>
        </w:rPr>
        <w:t>Meyenburg</w:t>
      </w:r>
      <w:proofErr w:type="spellEnd"/>
      <w:r w:rsidRPr="00586DB6">
        <w:rPr>
          <w:lang w:val="en-US"/>
        </w:rPr>
        <w:t xml:space="preserve"> B. Gender identity disorder in </w:t>
      </w:r>
      <w:proofErr w:type="spellStart"/>
      <w:r w:rsidRPr="00586DB6">
        <w:rPr>
          <w:lang w:val="en-US"/>
        </w:rPr>
        <w:t>adolescente</w:t>
      </w:r>
      <w:proofErr w:type="spellEnd"/>
      <w:r w:rsidRPr="00586DB6">
        <w:rPr>
          <w:lang w:val="en-US"/>
        </w:rPr>
        <w:t>: outcomes of psychotherapy. Adolescence 1999; 34:305-13</w:t>
      </w:r>
    </w:p>
  </w:footnote>
  <w:footnote w:id="14">
    <w:p w14:paraId="09153D87" w14:textId="77777777" w:rsidR="00586DB6" w:rsidRPr="00586DB6" w:rsidRDefault="00586DB6">
      <w:pPr>
        <w:pStyle w:val="Textonotapie"/>
        <w:rPr>
          <w:lang w:val="en-US"/>
        </w:rPr>
      </w:pPr>
      <w:r>
        <w:rPr>
          <w:rStyle w:val="Refdenotaalpie"/>
        </w:rPr>
        <w:footnoteRef/>
      </w:r>
      <w:r w:rsidRPr="00586DB6">
        <w:rPr>
          <w:lang w:val="en-US"/>
        </w:rPr>
        <w:t xml:space="preserve"> Viner RM, Brain C, Carmichael P, et al. Sex on the brain: dilemmas in the endocrine management of children and adolescents with identity disorder. Arch Dis Child 2005; </w:t>
      </w:r>
      <w:proofErr w:type="gramStart"/>
      <w:r w:rsidRPr="00586DB6">
        <w:rPr>
          <w:lang w:val="en-US"/>
        </w:rPr>
        <w:t>90:A</w:t>
      </w:r>
      <w:proofErr w:type="gramEnd"/>
      <w:r w:rsidRPr="00586DB6">
        <w:rPr>
          <w:lang w:val="en-US"/>
        </w:rPr>
        <w:t>78</w:t>
      </w:r>
    </w:p>
  </w:footnote>
  <w:footnote w:id="15">
    <w:p w14:paraId="0EE60EAE" w14:textId="77777777" w:rsidR="00586DB6" w:rsidRDefault="00586DB6">
      <w:pPr>
        <w:pStyle w:val="Textonotapie"/>
      </w:pPr>
      <w:r>
        <w:rPr>
          <w:rStyle w:val="Refdenotaalpie"/>
        </w:rPr>
        <w:footnoteRef/>
      </w:r>
      <w:r w:rsidRPr="00586DB6">
        <w:rPr>
          <w:lang w:val="en-US"/>
        </w:rPr>
        <w:t xml:space="preserve"> Drescher J, Pula J. Ethical Issues Raised by the Treatment of Gender-Variant Prepubescent Children. LGBT Bioethics: Visibility, Disparities and Dialogue, special report, </w:t>
      </w:r>
      <w:proofErr w:type="spellStart"/>
      <w:r w:rsidRPr="00586DB6">
        <w:rPr>
          <w:lang w:val="en-US"/>
        </w:rPr>
        <w:t>Heatings</w:t>
      </w:r>
      <w:proofErr w:type="spellEnd"/>
      <w:r w:rsidRPr="00586DB6">
        <w:rPr>
          <w:lang w:val="en-US"/>
        </w:rPr>
        <w:t xml:space="preserve"> Center Report 2</w:t>
      </w:r>
      <w:r>
        <w:rPr>
          <w:lang w:val="en-US"/>
        </w:rPr>
        <w:t>014;44(5</w:t>
      </w:r>
      <w:proofErr w:type="gramStart"/>
      <w:r>
        <w:rPr>
          <w:lang w:val="en-US"/>
        </w:rPr>
        <w:t>):S</w:t>
      </w:r>
      <w:proofErr w:type="gramEnd"/>
      <w:r>
        <w:rPr>
          <w:lang w:val="en-US"/>
        </w:rPr>
        <w:t>17-S22. DOI.10.1002/</w:t>
      </w:r>
      <w:r w:rsidRPr="00586DB6">
        <w:rPr>
          <w:lang w:val="en-US"/>
        </w:rPr>
        <w:t>hast.365</w:t>
      </w:r>
    </w:p>
  </w:footnote>
  <w:footnote w:id="16">
    <w:p w14:paraId="2ACDEA40" w14:textId="77777777" w:rsidR="003B23EE" w:rsidRPr="009905F4" w:rsidRDefault="003B23EE">
      <w:pPr>
        <w:pStyle w:val="Textonotapie"/>
        <w:rPr>
          <w:lang w:val="en-US"/>
        </w:rPr>
      </w:pPr>
      <w:r>
        <w:rPr>
          <w:rStyle w:val="Refdenotaalpie"/>
        </w:rPr>
        <w:footnoteRef/>
      </w:r>
      <w:r w:rsidRPr="003B23EE">
        <w:rPr>
          <w:lang w:val="en-US"/>
        </w:rPr>
        <w:t xml:space="preserve"> Intersex Society of North America. </w:t>
      </w:r>
      <w:proofErr w:type="spellStart"/>
      <w:r w:rsidRPr="003B23EE">
        <w:rPr>
          <w:lang w:val="en-US"/>
        </w:rPr>
        <w:t>N.p</w:t>
      </w:r>
      <w:proofErr w:type="spellEnd"/>
      <w:r w:rsidRPr="003B23EE">
        <w:rPr>
          <w:lang w:val="en-US"/>
        </w:rPr>
        <w:t xml:space="preserve">., </w:t>
      </w:r>
      <w:proofErr w:type="spellStart"/>
      <w:r w:rsidRPr="003B23EE">
        <w:rPr>
          <w:lang w:val="en-US"/>
        </w:rPr>
        <w:t>n.d.</w:t>
      </w:r>
      <w:proofErr w:type="spellEnd"/>
      <w:r w:rsidRPr="003B23EE">
        <w:rPr>
          <w:lang w:val="en-US"/>
        </w:rPr>
        <w:t xml:space="preserve"> Web. 7 May 2011. &lt;http://www.isna.org</w:t>
      </w:r>
    </w:p>
  </w:footnote>
  <w:footnote w:id="17">
    <w:p w14:paraId="38A06634" w14:textId="77777777" w:rsidR="003B23EE" w:rsidRPr="009905F4" w:rsidRDefault="003B23EE">
      <w:pPr>
        <w:pStyle w:val="Textonotapie"/>
        <w:rPr>
          <w:lang w:val="en-US"/>
        </w:rPr>
      </w:pPr>
      <w:r>
        <w:rPr>
          <w:rStyle w:val="Refdenotaalpie"/>
        </w:rPr>
        <w:footnoteRef/>
      </w:r>
      <w:r w:rsidRPr="003B23EE">
        <w:rPr>
          <w:lang w:val="en-US"/>
        </w:rPr>
        <w:t xml:space="preserve"> </w:t>
      </w:r>
      <w:proofErr w:type="spellStart"/>
      <w:r w:rsidRPr="003B23EE">
        <w:rPr>
          <w:lang w:val="en-US"/>
        </w:rPr>
        <w:t>Kipnis</w:t>
      </w:r>
      <w:proofErr w:type="spellEnd"/>
      <w:r w:rsidRPr="003B23EE">
        <w:rPr>
          <w:lang w:val="en-US"/>
        </w:rPr>
        <w:t xml:space="preserve"> K, Diamond M (1998) Pediatric ethics and the surgical assignment of sex. J </w:t>
      </w:r>
      <w:proofErr w:type="spellStart"/>
      <w:r w:rsidRPr="003B23EE">
        <w:rPr>
          <w:lang w:val="en-US"/>
        </w:rPr>
        <w:t>Clin</w:t>
      </w:r>
      <w:proofErr w:type="spellEnd"/>
      <w:r w:rsidRPr="003B23EE">
        <w:rPr>
          <w:lang w:val="en-US"/>
        </w:rPr>
        <w:t xml:space="preserve"> Ethics 9:398–410</w:t>
      </w:r>
    </w:p>
  </w:footnote>
  <w:footnote w:id="18">
    <w:p w14:paraId="7C7DA145" w14:textId="77777777" w:rsidR="0037273E" w:rsidRPr="0037273E" w:rsidRDefault="0037273E">
      <w:pPr>
        <w:pStyle w:val="Textonotapie"/>
        <w:rPr>
          <w:lang w:val="en-US"/>
        </w:rPr>
      </w:pPr>
      <w:r>
        <w:rPr>
          <w:rStyle w:val="Refdenotaalpie"/>
        </w:rPr>
        <w:footnoteRef/>
      </w:r>
      <w:r w:rsidRPr="0037273E">
        <w:rPr>
          <w:lang w:val="en-US"/>
        </w:rPr>
        <w:t xml:space="preserve"> Ethical principles and recommendations for the medical management of differences of sex development (DSD)/intersex in children and adolescents Claudia </w:t>
      </w:r>
      <w:proofErr w:type="spellStart"/>
      <w:r w:rsidRPr="0037273E">
        <w:rPr>
          <w:lang w:val="en-US"/>
        </w:rPr>
        <w:t>Wiesemann</w:t>
      </w:r>
      <w:proofErr w:type="spellEnd"/>
      <w:r w:rsidRPr="0037273E">
        <w:rPr>
          <w:lang w:val="en-US"/>
        </w:rPr>
        <w:t xml:space="preserve"> et al. </w:t>
      </w:r>
      <w:proofErr w:type="spellStart"/>
      <w:r w:rsidRPr="0037273E">
        <w:rPr>
          <w:lang w:val="en-US"/>
        </w:rPr>
        <w:t>Eur</w:t>
      </w:r>
      <w:proofErr w:type="spellEnd"/>
      <w:r w:rsidRPr="0037273E">
        <w:rPr>
          <w:lang w:val="en-US"/>
        </w:rPr>
        <w:t xml:space="preserve"> J </w:t>
      </w:r>
      <w:proofErr w:type="spellStart"/>
      <w:r w:rsidRPr="0037273E">
        <w:rPr>
          <w:lang w:val="en-US"/>
        </w:rPr>
        <w:t>Pediatr</w:t>
      </w:r>
      <w:proofErr w:type="spellEnd"/>
      <w:r w:rsidRPr="0037273E">
        <w:rPr>
          <w:lang w:val="en-US"/>
        </w:rPr>
        <w:t xml:space="preserve"> (2010) 169:671–679</w:t>
      </w:r>
    </w:p>
  </w:footnote>
  <w:footnote w:id="19">
    <w:p w14:paraId="7AA0BFBC" w14:textId="77777777" w:rsidR="0037273E" w:rsidRDefault="0037273E">
      <w:pPr>
        <w:pStyle w:val="Textonotapie"/>
      </w:pPr>
      <w:r>
        <w:rPr>
          <w:rStyle w:val="Refdenotaalpie"/>
        </w:rPr>
        <w:footnoteRef/>
      </w:r>
      <w:r w:rsidRPr="0037273E">
        <w:rPr>
          <w:lang w:val="en-US"/>
        </w:rPr>
        <w:t xml:space="preserve"> Diamond M, </w:t>
      </w:r>
      <w:proofErr w:type="spellStart"/>
      <w:r w:rsidRPr="0037273E">
        <w:rPr>
          <w:lang w:val="en-US"/>
        </w:rPr>
        <w:t>Sigmundson</w:t>
      </w:r>
      <w:proofErr w:type="spellEnd"/>
      <w:r w:rsidRPr="0037273E">
        <w:rPr>
          <w:lang w:val="en-US"/>
        </w:rPr>
        <w:t xml:space="preserve"> HK (1997) Sex reassignment at birth. Long-term review and clinical implications. Arch </w:t>
      </w:r>
      <w:proofErr w:type="spellStart"/>
      <w:r w:rsidRPr="0037273E">
        <w:rPr>
          <w:lang w:val="en-US"/>
        </w:rPr>
        <w:t>Pediatr</w:t>
      </w:r>
      <w:proofErr w:type="spellEnd"/>
      <w:r w:rsidRPr="0037273E">
        <w:rPr>
          <w:lang w:val="en-US"/>
        </w:rPr>
        <w:t xml:space="preserve"> </w:t>
      </w:r>
      <w:proofErr w:type="spellStart"/>
      <w:r w:rsidRPr="0037273E">
        <w:rPr>
          <w:lang w:val="en-US"/>
        </w:rPr>
        <w:t>Adolesc</w:t>
      </w:r>
      <w:proofErr w:type="spellEnd"/>
      <w:r w:rsidRPr="0037273E">
        <w:rPr>
          <w:lang w:val="en-US"/>
        </w:rPr>
        <w:t xml:space="preserve"> Med 151:298–304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53016" w14:textId="77777777" w:rsidR="00D6139A" w:rsidRDefault="00D6139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787F3" w14:textId="77777777" w:rsidR="00D6139A" w:rsidRDefault="00D6139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8D366" w14:textId="77777777" w:rsidR="00D6139A" w:rsidRDefault="00D6139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C48AE"/>
    <w:multiLevelType w:val="hybridMultilevel"/>
    <w:tmpl w:val="6486D93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09D797A"/>
    <w:multiLevelType w:val="hybridMultilevel"/>
    <w:tmpl w:val="0E2E3E7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1835708D"/>
    <w:multiLevelType w:val="hybridMultilevel"/>
    <w:tmpl w:val="BF50DE9A"/>
    <w:lvl w:ilvl="0" w:tplc="626E88FC">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15:restartNumberingAfterBreak="0">
    <w:nsid w:val="1C3A22FD"/>
    <w:multiLevelType w:val="hybridMultilevel"/>
    <w:tmpl w:val="EB3E2DEE"/>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 w15:restartNumberingAfterBreak="0">
    <w:nsid w:val="22E27281"/>
    <w:multiLevelType w:val="hybridMultilevel"/>
    <w:tmpl w:val="FAC4CB4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FAE5CFE"/>
    <w:multiLevelType w:val="hybridMultilevel"/>
    <w:tmpl w:val="78AE3C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FC977DF"/>
    <w:multiLevelType w:val="hybridMultilevel"/>
    <w:tmpl w:val="11D8E562"/>
    <w:lvl w:ilvl="0" w:tplc="CE94AEBC">
      <w:start w:val="1"/>
      <w:numFmt w:val="decimal"/>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7" w15:restartNumberingAfterBreak="0">
    <w:nsid w:val="3C315430"/>
    <w:multiLevelType w:val="hybridMultilevel"/>
    <w:tmpl w:val="D98C757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B5829FD"/>
    <w:multiLevelType w:val="multilevel"/>
    <w:tmpl w:val="3CD2C6FC"/>
    <w:lvl w:ilvl="0">
      <w:start w:val="1"/>
      <w:numFmt w:val="decimal"/>
      <w:pStyle w:val="Propio1"/>
      <w:lvlText w:val="%1."/>
      <w:lvlJc w:val="left"/>
      <w:pPr>
        <w:ind w:left="360" w:hanging="360"/>
      </w:pPr>
      <w:rPr>
        <w:rFonts w:hint="default"/>
      </w:rPr>
    </w:lvl>
    <w:lvl w:ilvl="1">
      <w:start w:val="1"/>
      <w:numFmt w:val="decimal"/>
      <w:pStyle w:val="Propio2"/>
      <w:lvlText w:val="%1.%2."/>
      <w:lvlJc w:val="left"/>
      <w:pPr>
        <w:ind w:left="4402" w:hanging="432"/>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ropio3"/>
      <w:lvlText w:val="%1.%2.%3."/>
      <w:lvlJc w:val="left"/>
      <w:pPr>
        <w:ind w:left="1497" w:hanging="504"/>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Propio4"/>
      <w:lvlText w:val="%1.%2.%3.%4."/>
      <w:lvlJc w:val="left"/>
      <w:pPr>
        <w:ind w:left="1728" w:hanging="648"/>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Propio5"/>
      <w:lvlText w:val="%1.%2.%3.%4.%5."/>
      <w:lvlJc w:val="left"/>
      <w:pPr>
        <w:ind w:left="2232" w:hanging="792"/>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40F7805"/>
    <w:multiLevelType w:val="hybridMultilevel"/>
    <w:tmpl w:val="497EF8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B2C69FF"/>
    <w:multiLevelType w:val="hybridMultilevel"/>
    <w:tmpl w:val="4C90C954"/>
    <w:lvl w:ilvl="0" w:tplc="0C0A0001">
      <w:start w:val="1"/>
      <w:numFmt w:val="bullet"/>
      <w:lvlText w:val=""/>
      <w:lvlJc w:val="left"/>
      <w:pPr>
        <w:ind w:left="2061" w:hanging="360"/>
      </w:pPr>
      <w:rPr>
        <w:rFonts w:ascii="Symbol" w:hAnsi="Symbol" w:hint="default"/>
      </w:rPr>
    </w:lvl>
    <w:lvl w:ilvl="1" w:tplc="0C0A0003" w:tentative="1">
      <w:start w:val="1"/>
      <w:numFmt w:val="bullet"/>
      <w:lvlText w:val="o"/>
      <w:lvlJc w:val="left"/>
      <w:pPr>
        <w:ind w:left="2781" w:hanging="360"/>
      </w:pPr>
      <w:rPr>
        <w:rFonts w:ascii="Courier New" w:hAnsi="Courier New" w:cs="Courier New" w:hint="default"/>
      </w:rPr>
    </w:lvl>
    <w:lvl w:ilvl="2" w:tplc="0C0A0005" w:tentative="1">
      <w:start w:val="1"/>
      <w:numFmt w:val="bullet"/>
      <w:lvlText w:val=""/>
      <w:lvlJc w:val="left"/>
      <w:pPr>
        <w:ind w:left="3501" w:hanging="360"/>
      </w:pPr>
      <w:rPr>
        <w:rFonts w:ascii="Wingdings" w:hAnsi="Wingdings" w:hint="default"/>
      </w:rPr>
    </w:lvl>
    <w:lvl w:ilvl="3" w:tplc="0C0A0001" w:tentative="1">
      <w:start w:val="1"/>
      <w:numFmt w:val="bullet"/>
      <w:lvlText w:val=""/>
      <w:lvlJc w:val="left"/>
      <w:pPr>
        <w:ind w:left="4221" w:hanging="360"/>
      </w:pPr>
      <w:rPr>
        <w:rFonts w:ascii="Symbol" w:hAnsi="Symbol" w:hint="default"/>
      </w:rPr>
    </w:lvl>
    <w:lvl w:ilvl="4" w:tplc="0C0A0003" w:tentative="1">
      <w:start w:val="1"/>
      <w:numFmt w:val="bullet"/>
      <w:lvlText w:val="o"/>
      <w:lvlJc w:val="left"/>
      <w:pPr>
        <w:ind w:left="4941" w:hanging="360"/>
      </w:pPr>
      <w:rPr>
        <w:rFonts w:ascii="Courier New" w:hAnsi="Courier New" w:cs="Courier New" w:hint="default"/>
      </w:rPr>
    </w:lvl>
    <w:lvl w:ilvl="5" w:tplc="0C0A0005" w:tentative="1">
      <w:start w:val="1"/>
      <w:numFmt w:val="bullet"/>
      <w:lvlText w:val=""/>
      <w:lvlJc w:val="left"/>
      <w:pPr>
        <w:ind w:left="5661" w:hanging="360"/>
      </w:pPr>
      <w:rPr>
        <w:rFonts w:ascii="Wingdings" w:hAnsi="Wingdings" w:hint="default"/>
      </w:rPr>
    </w:lvl>
    <w:lvl w:ilvl="6" w:tplc="0C0A0001" w:tentative="1">
      <w:start w:val="1"/>
      <w:numFmt w:val="bullet"/>
      <w:lvlText w:val=""/>
      <w:lvlJc w:val="left"/>
      <w:pPr>
        <w:ind w:left="6381" w:hanging="360"/>
      </w:pPr>
      <w:rPr>
        <w:rFonts w:ascii="Symbol" w:hAnsi="Symbol" w:hint="default"/>
      </w:rPr>
    </w:lvl>
    <w:lvl w:ilvl="7" w:tplc="0C0A0003" w:tentative="1">
      <w:start w:val="1"/>
      <w:numFmt w:val="bullet"/>
      <w:lvlText w:val="o"/>
      <w:lvlJc w:val="left"/>
      <w:pPr>
        <w:ind w:left="7101" w:hanging="360"/>
      </w:pPr>
      <w:rPr>
        <w:rFonts w:ascii="Courier New" w:hAnsi="Courier New" w:cs="Courier New" w:hint="default"/>
      </w:rPr>
    </w:lvl>
    <w:lvl w:ilvl="8" w:tplc="0C0A0005" w:tentative="1">
      <w:start w:val="1"/>
      <w:numFmt w:val="bullet"/>
      <w:lvlText w:val=""/>
      <w:lvlJc w:val="left"/>
      <w:pPr>
        <w:ind w:left="7821" w:hanging="360"/>
      </w:pPr>
      <w:rPr>
        <w:rFonts w:ascii="Wingdings" w:hAnsi="Wingdings" w:hint="default"/>
      </w:rPr>
    </w:lvl>
  </w:abstractNum>
  <w:abstractNum w:abstractNumId="11" w15:restartNumberingAfterBreak="0">
    <w:nsid w:val="652A46CD"/>
    <w:multiLevelType w:val="hybridMultilevel"/>
    <w:tmpl w:val="C1D8F8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62C6959"/>
    <w:multiLevelType w:val="hybridMultilevel"/>
    <w:tmpl w:val="4DDEA820"/>
    <w:lvl w:ilvl="0" w:tplc="367481EA">
      <w:numFmt w:val="bullet"/>
      <w:lvlText w:val="-"/>
      <w:lvlJc w:val="left"/>
      <w:pPr>
        <w:ind w:left="1065" w:hanging="360"/>
      </w:pPr>
      <w:rPr>
        <w:rFonts w:ascii="Times New Roman" w:eastAsia="Times New Roman" w:hAnsi="Times New Roman" w:cs="Times New Roman" w:hint="default"/>
        <w:sz w:val="32"/>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13" w15:restartNumberingAfterBreak="0">
    <w:nsid w:val="78A94846"/>
    <w:multiLevelType w:val="hybridMultilevel"/>
    <w:tmpl w:val="C8389CC8"/>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9EA61C7"/>
    <w:multiLevelType w:val="hybridMultilevel"/>
    <w:tmpl w:val="B14C1F70"/>
    <w:lvl w:ilvl="0" w:tplc="0C0A0001">
      <w:start w:val="1"/>
      <w:numFmt w:val="bullet"/>
      <w:lvlText w:val=""/>
      <w:lvlJc w:val="left"/>
      <w:pPr>
        <w:ind w:left="2061" w:hanging="360"/>
      </w:pPr>
      <w:rPr>
        <w:rFonts w:ascii="Symbol" w:hAnsi="Symbol" w:hint="default"/>
      </w:rPr>
    </w:lvl>
    <w:lvl w:ilvl="1" w:tplc="0C0A0003" w:tentative="1">
      <w:start w:val="1"/>
      <w:numFmt w:val="bullet"/>
      <w:lvlText w:val="o"/>
      <w:lvlJc w:val="left"/>
      <w:pPr>
        <w:ind w:left="2781" w:hanging="360"/>
      </w:pPr>
      <w:rPr>
        <w:rFonts w:ascii="Courier New" w:hAnsi="Courier New" w:cs="Courier New" w:hint="default"/>
      </w:rPr>
    </w:lvl>
    <w:lvl w:ilvl="2" w:tplc="0C0A0005" w:tentative="1">
      <w:start w:val="1"/>
      <w:numFmt w:val="bullet"/>
      <w:lvlText w:val=""/>
      <w:lvlJc w:val="left"/>
      <w:pPr>
        <w:ind w:left="3501" w:hanging="360"/>
      </w:pPr>
      <w:rPr>
        <w:rFonts w:ascii="Wingdings" w:hAnsi="Wingdings" w:hint="default"/>
      </w:rPr>
    </w:lvl>
    <w:lvl w:ilvl="3" w:tplc="0C0A0001" w:tentative="1">
      <w:start w:val="1"/>
      <w:numFmt w:val="bullet"/>
      <w:lvlText w:val=""/>
      <w:lvlJc w:val="left"/>
      <w:pPr>
        <w:ind w:left="4221" w:hanging="360"/>
      </w:pPr>
      <w:rPr>
        <w:rFonts w:ascii="Symbol" w:hAnsi="Symbol" w:hint="default"/>
      </w:rPr>
    </w:lvl>
    <w:lvl w:ilvl="4" w:tplc="0C0A0003" w:tentative="1">
      <w:start w:val="1"/>
      <w:numFmt w:val="bullet"/>
      <w:lvlText w:val="o"/>
      <w:lvlJc w:val="left"/>
      <w:pPr>
        <w:ind w:left="4941" w:hanging="360"/>
      </w:pPr>
      <w:rPr>
        <w:rFonts w:ascii="Courier New" w:hAnsi="Courier New" w:cs="Courier New" w:hint="default"/>
      </w:rPr>
    </w:lvl>
    <w:lvl w:ilvl="5" w:tplc="0C0A0005" w:tentative="1">
      <w:start w:val="1"/>
      <w:numFmt w:val="bullet"/>
      <w:lvlText w:val=""/>
      <w:lvlJc w:val="left"/>
      <w:pPr>
        <w:ind w:left="5661" w:hanging="360"/>
      </w:pPr>
      <w:rPr>
        <w:rFonts w:ascii="Wingdings" w:hAnsi="Wingdings" w:hint="default"/>
      </w:rPr>
    </w:lvl>
    <w:lvl w:ilvl="6" w:tplc="0C0A0001" w:tentative="1">
      <w:start w:val="1"/>
      <w:numFmt w:val="bullet"/>
      <w:lvlText w:val=""/>
      <w:lvlJc w:val="left"/>
      <w:pPr>
        <w:ind w:left="6381" w:hanging="360"/>
      </w:pPr>
      <w:rPr>
        <w:rFonts w:ascii="Symbol" w:hAnsi="Symbol" w:hint="default"/>
      </w:rPr>
    </w:lvl>
    <w:lvl w:ilvl="7" w:tplc="0C0A0003" w:tentative="1">
      <w:start w:val="1"/>
      <w:numFmt w:val="bullet"/>
      <w:lvlText w:val="o"/>
      <w:lvlJc w:val="left"/>
      <w:pPr>
        <w:ind w:left="7101" w:hanging="360"/>
      </w:pPr>
      <w:rPr>
        <w:rFonts w:ascii="Courier New" w:hAnsi="Courier New" w:cs="Courier New" w:hint="default"/>
      </w:rPr>
    </w:lvl>
    <w:lvl w:ilvl="8" w:tplc="0C0A0005" w:tentative="1">
      <w:start w:val="1"/>
      <w:numFmt w:val="bullet"/>
      <w:lvlText w:val=""/>
      <w:lvlJc w:val="left"/>
      <w:pPr>
        <w:ind w:left="7821"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7"/>
  </w:num>
  <w:num w:numId="10">
    <w:abstractNumId w:val="8"/>
  </w:num>
  <w:num w:numId="11">
    <w:abstractNumId w:val="9"/>
  </w:num>
  <w:num w:numId="12">
    <w:abstractNumId w:val="4"/>
  </w:num>
  <w:num w:numId="13">
    <w:abstractNumId w:val="0"/>
  </w:num>
  <w:num w:numId="14">
    <w:abstractNumId w:val="13"/>
  </w:num>
  <w:num w:numId="15">
    <w:abstractNumId w:val="11"/>
  </w:num>
  <w:num w:numId="16">
    <w:abstractNumId w:val="3"/>
  </w:num>
  <w:num w:numId="17">
    <w:abstractNumId w:val="5"/>
  </w:num>
  <w:num w:numId="18">
    <w:abstractNumId w:val="8"/>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6"/>
  </w:num>
  <w:num w:numId="23">
    <w:abstractNumId w:val="10"/>
  </w:num>
  <w:num w:numId="24">
    <w:abstractNumId w:val="2"/>
  </w:num>
  <w:num w:numId="25">
    <w:abstractNumId w:val="12"/>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0E4"/>
    <w:rsid w:val="000271F2"/>
    <w:rsid w:val="0003633A"/>
    <w:rsid w:val="0005663F"/>
    <w:rsid w:val="00060526"/>
    <w:rsid w:val="00067DCA"/>
    <w:rsid w:val="00087E0F"/>
    <w:rsid w:val="000A32AD"/>
    <w:rsid w:val="000C071E"/>
    <w:rsid w:val="000D1E24"/>
    <w:rsid w:val="000E3BD8"/>
    <w:rsid w:val="000F4EF3"/>
    <w:rsid w:val="00143442"/>
    <w:rsid w:val="001470E4"/>
    <w:rsid w:val="001B2753"/>
    <w:rsid w:val="001F252D"/>
    <w:rsid w:val="001F4DCE"/>
    <w:rsid w:val="001F5CE1"/>
    <w:rsid w:val="002275D9"/>
    <w:rsid w:val="002508D0"/>
    <w:rsid w:val="00254062"/>
    <w:rsid w:val="00263E3D"/>
    <w:rsid w:val="00267D0C"/>
    <w:rsid w:val="00275C17"/>
    <w:rsid w:val="002A49D3"/>
    <w:rsid w:val="002B0A3B"/>
    <w:rsid w:val="002B7BD7"/>
    <w:rsid w:val="002D59C7"/>
    <w:rsid w:val="002F2A03"/>
    <w:rsid w:val="002F6A56"/>
    <w:rsid w:val="003060F3"/>
    <w:rsid w:val="00336931"/>
    <w:rsid w:val="00342957"/>
    <w:rsid w:val="00365FAC"/>
    <w:rsid w:val="0037273E"/>
    <w:rsid w:val="00375E36"/>
    <w:rsid w:val="00394E74"/>
    <w:rsid w:val="003A582C"/>
    <w:rsid w:val="003B23EE"/>
    <w:rsid w:val="003D3CF2"/>
    <w:rsid w:val="003D4627"/>
    <w:rsid w:val="003E1AEF"/>
    <w:rsid w:val="003E6F40"/>
    <w:rsid w:val="003F66CB"/>
    <w:rsid w:val="003F66FC"/>
    <w:rsid w:val="004051E0"/>
    <w:rsid w:val="00414102"/>
    <w:rsid w:val="00450157"/>
    <w:rsid w:val="00450BDE"/>
    <w:rsid w:val="004613D6"/>
    <w:rsid w:val="0049257B"/>
    <w:rsid w:val="004946C6"/>
    <w:rsid w:val="00497B07"/>
    <w:rsid w:val="004B067C"/>
    <w:rsid w:val="004C0DF2"/>
    <w:rsid w:val="004C252F"/>
    <w:rsid w:val="004D220E"/>
    <w:rsid w:val="005052D5"/>
    <w:rsid w:val="00572BD6"/>
    <w:rsid w:val="00586DB6"/>
    <w:rsid w:val="005D3D7F"/>
    <w:rsid w:val="005E72ED"/>
    <w:rsid w:val="005F77D3"/>
    <w:rsid w:val="0061387C"/>
    <w:rsid w:val="00613CD9"/>
    <w:rsid w:val="006C7D75"/>
    <w:rsid w:val="006E6659"/>
    <w:rsid w:val="006F42B7"/>
    <w:rsid w:val="007023D3"/>
    <w:rsid w:val="00720074"/>
    <w:rsid w:val="00726A8B"/>
    <w:rsid w:val="007320FB"/>
    <w:rsid w:val="00744E71"/>
    <w:rsid w:val="00751E3A"/>
    <w:rsid w:val="00757702"/>
    <w:rsid w:val="007747CE"/>
    <w:rsid w:val="007815D2"/>
    <w:rsid w:val="007961F0"/>
    <w:rsid w:val="007B59BC"/>
    <w:rsid w:val="007C24B6"/>
    <w:rsid w:val="007F7964"/>
    <w:rsid w:val="00806923"/>
    <w:rsid w:val="00813DCB"/>
    <w:rsid w:val="00836494"/>
    <w:rsid w:val="00840E5E"/>
    <w:rsid w:val="00847972"/>
    <w:rsid w:val="00863F1D"/>
    <w:rsid w:val="00870931"/>
    <w:rsid w:val="0088621B"/>
    <w:rsid w:val="008C6B8A"/>
    <w:rsid w:val="008F0F4C"/>
    <w:rsid w:val="00903E55"/>
    <w:rsid w:val="00971EF1"/>
    <w:rsid w:val="009865D1"/>
    <w:rsid w:val="009905F4"/>
    <w:rsid w:val="009D156D"/>
    <w:rsid w:val="009E119D"/>
    <w:rsid w:val="009E77FF"/>
    <w:rsid w:val="00A0096B"/>
    <w:rsid w:val="00A204D3"/>
    <w:rsid w:val="00A33FE3"/>
    <w:rsid w:val="00A53FB2"/>
    <w:rsid w:val="00A5638E"/>
    <w:rsid w:val="00A844E4"/>
    <w:rsid w:val="00A85AC7"/>
    <w:rsid w:val="00AA2E8B"/>
    <w:rsid w:val="00AA5BBF"/>
    <w:rsid w:val="00AC7338"/>
    <w:rsid w:val="00AE42EC"/>
    <w:rsid w:val="00AE6975"/>
    <w:rsid w:val="00AF44F0"/>
    <w:rsid w:val="00B34889"/>
    <w:rsid w:val="00B36C5B"/>
    <w:rsid w:val="00B52C45"/>
    <w:rsid w:val="00B647E8"/>
    <w:rsid w:val="00B654C9"/>
    <w:rsid w:val="00B65699"/>
    <w:rsid w:val="00B72838"/>
    <w:rsid w:val="00B72954"/>
    <w:rsid w:val="00B744E4"/>
    <w:rsid w:val="00B84AF9"/>
    <w:rsid w:val="00B85C65"/>
    <w:rsid w:val="00BD6CF3"/>
    <w:rsid w:val="00BE7DC1"/>
    <w:rsid w:val="00C1450C"/>
    <w:rsid w:val="00C21919"/>
    <w:rsid w:val="00C32F75"/>
    <w:rsid w:val="00C83258"/>
    <w:rsid w:val="00C841E7"/>
    <w:rsid w:val="00C932B4"/>
    <w:rsid w:val="00CA5BEA"/>
    <w:rsid w:val="00CE315C"/>
    <w:rsid w:val="00D25607"/>
    <w:rsid w:val="00D35952"/>
    <w:rsid w:val="00D461A8"/>
    <w:rsid w:val="00D52341"/>
    <w:rsid w:val="00D6139A"/>
    <w:rsid w:val="00DB0BEA"/>
    <w:rsid w:val="00DB66E9"/>
    <w:rsid w:val="00DE7A6A"/>
    <w:rsid w:val="00E20679"/>
    <w:rsid w:val="00E25876"/>
    <w:rsid w:val="00E27386"/>
    <w:rsid w:val="00E364EB"/>
    <w:rsid w:val="00E36EDD"/>
    <w:rsid w:val="00E401CB"/>
    <w:rsid w:val="00E45E6D"/>
    <w:rsid w:val="00E53445"/>
    <w:rsid w:val="00E92442"/>
    <w:rsid w:val="00E950F5"/>
    <w:rsid w:val="00EA562E"/>
    <w:rsid w:val="00EB0A09"/>
    <w:rsid w:val="00F463AF"/>
    <w:rsid w:val="00F4663A"/>
    <w:rsid w:val="00F477EA"/>
    <w:rsid w:val="00F80858"/>
    <w:rsid w:val="00F95A94"/>
    <w:rsid w:val="00F96353"/>
    <w:rsid w:val="00FA7501"/>
    <w:rsid w:val="00FA7F39"/>
    <w:rsid w:val="00FB013A"/>
    <w:rsid w:val="00FD4441"/>
    <w:rsid w:val="00FE0C47"/>
    <w:rsid w:val="00FF40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1BB26"/>
  <w15:docId w15:val="{2867D449-E86C-4961-BACD-8256D1F4A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3FB2"/>
  </w:style>
  <w:style w:type="paragraph" w:styleId="Ttulo1">
    <w:name w:val="heading 1"/>
    <w:basedOn w:val="Normal"/>
    <w:next w:val="Normal"/>
    <w:link w:val="Ttulo1Car"/>
    <w:uiPriority w:val="9"/>
    <w:qFormat/>
    <w:rsid w:val="008F0F4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opio1">
    <w:name w:val="Propio 1"/>
    <w:basedOn w:val="Ttulo1"/>
    <w:next w:val="Normal"/>
    <w:link w:val="Propio1Car"/>
    <w:autoRedefine/>
    <w:qFormat/>
    <w:rsid w:val="000E3BD8"/>
    <w:pPr>
      <w:numPr>
        <w:numId w:val="7"/>
      </w:numPr>
      <w:spacing w:line="360" w:lineRule="auto"/>
      <w:jc w:val="both"/>
    </w:pPr>
    <w:rPr>
      <w:rFonts w:ascii="Arial" w:eastAsia="Times New Roman" w:hAnsi="Arial" w:cs="Times New Roman"/>
      <w:b/>
      <w:color w:val="auto"/>
      <w:sz w:val="24"/>
      <w:szCs w:val="24"/>
      <w:u w:val="single"/>
    </w:rPr>
  </w:style>
  <w:style w:type="character" w:customStyle="1" w:styleId="Propio1Car">
    <w:name w:val="Propio 1 Car"/>
    <w:link w:val="Propio1"/>
    <w:rsid w:val="000E3BD8"/>
    <w:rPr>
      <w:rFonts w:ascii="Arial" w:eastAsia="Times New Roman" w:hAnsi="Arial"/>
      <w:b/>
      <w:sz w:val="24"/>
      <w:szCs w:val="24"/>
      <w:u w:val="single"/>
    </w:rPr>
  </w:style>
  <w:style w:type="character" w:customStyle="1" w:styleId="Ttulo1Car">
    <w:name w:val="Título 1 Car"/>
    <w:basedOn w:val="Fuentedeprrafopredeter"/>
    <w:link w:val="Ttulo1"/>
    <w:uiPriority w:val="9"/>
    <w:rsid w:val="008F0F4C"/>
    <w:rPr>
      <w:rFonts w:asciiTheme="majorHAnsi" w:eastAsiaTheme="majorEastAsia" w:hAnsiTheme="majorHAnsi" w:cstheme="majorBidi"/>
      <w:color w:val="2E74B5" w:themeColor="accent1" w:themeShade="BF"/>
      <w:sz w:val="32"/>
      <w:szCs w:val="32"/>
    </w:rPr>
  </w:style>
  <w:style w:type="paragraph" w:customStyle="1" w:styleId="Propio2">
    <w:name w:val="Propio 2"/>
    <w:basedOn w:val="Propio1"/>
    <w:next w:val="Normal"/>
    <w:link w:val="Propio2Car"/>
    <w:qFormat/>
    <w:rsid w:val="005052D5"/>
    <w:pPr>
      <w:numPr>
        <w:ilvl w:val="1"/>
        <w:numId w:val="8"/>
      </w:numPr>
      <w:ind w:left="998" w:hanging="431"/>
      <w:outlineLvl w:val="1"/>
    </w:pPr>
    <w:rPr>
      <w:lang w:val="es-ES_tradnl"/>
    </w:rPr>
  </w:style>
  <w:style w:type="character" w:customStyle="1" w:styleId="Propio2Car">
    <w:name w:val="Propio 2 Car"/>
    <w:link w:val="Propio2"/>
    <w:rsid w:val="005052D5"/>
    <w:rPr>
      <w:rFonts w:ascii="Arial" w:eastAsia="Times New Roman" w:hAnsi="Arial"/>
      <w:b/>
      <w:sz w:val="24"/>
      <w:szCs w:val="24"/>
      <w:lang w:val="es-ES_tradnl"/>
    </w:rPr>
  </w:style>
  <w:style w:type="paragraph" w:customStyle="1" w:styleId="Propio3">
    <w:name w:val="Propio 3"/>
    <w:basedOn w:val="Propio2"/>
    <w:next w:val="Normal"/>
    <w:link w:val="Propio3Car"/>
    <w:qFormat/>
    <w:rsid w:val="005052D5"/>
    <w:pPr>
      <w:numPr>
        <w:ilvl w:val="2"/>
      </w:numPr>
      <w:outlineLvl w:val="2"/>
    </w:pPr>
  </w:style>
  <w:style w:type="character" w:customStyle="1" w:styleId="Propio3Car">
    <w:name w:val="Propio 3 Car"/>
    <w:link w:val="Propio3"/>
    <w:rsid w:val="005052D5"/>
    <w:rPr>
      <w:rFonts w:ascii="Arial" w:eastAsia="Times New Roman" w:hAnsi="Arial"/>
      <w:b/>
      <w:sz w:val="24"/>
      <w:szCs w:val="24"/>
      <w:lang w:val="es-ES_tradnl"/>
    </w:rPr>
  </w:style>
  <w:style w:type="paragraph" w:customStyle="1" w:styleId="Propio4">
    <w:name w:val="Propio 4"/>
    <w:basedOn w:val="Propio3"/>
    <w:link w:val="Propio4Car"/>
    <w:autoRedefine/>
    <w:qFormat/>
    <w:rsid w:val="00F463AF"/>
    <w:pPr>
      <w:numPr>
        <w:ilvl w:val="3"/>
      </w:numPr>
      <w:outlineLvl w:val="3"/>
    </w:pPr>
  </w:style>
  <w:style w:type="character" w:customStyle="1" w:styleId="Propio4Car">
    <w:name w:val="Propio 4 Car"/>
    <w:link w:val="Propio4"/>
    <w:rsid w:val="0003633A"/>
    <w:rPr>
      <w:rFonts w:ascii="Arial" w:eastAsia="Times New Roman" w:hAnsi="Arial"/>
      <w:b/>
      <w:sz w:val="24"/>
      <w:szCs w:val="32"/>
      <w:lang w:val="es-ES_tradnl"/>
    </w:rPr>
  </w:style>
  <w:style w:type="paragraph" w:customStyle="1" w:styleId="Propio5">
    <w:name w:val="Propio 5"/>
    <w:basedOn w:val="Propio4"/>
    <w:link w:val="Propio5Car"/>
    <w:qFormat/>
    <w:rsid w:val="0003633A"/>
    <w:pPr>
      <w:numPr>
        <w:ilvl w:val="4"/>
      </w:numPr>
      <w:ind w:left="3062" w:hanging="794"/>
      <w:outlineLvl w:val="4"/>
    </w:pPr>
  </w:style>
  <w:style w:type="character" w:customStyle="1" w:styleId="Propio5Car">
    <w:name w:val="Propio 5 Car"/>
    <w:basedOn w:val="Propio4Car"/>
    <w:link w:val="Propio5"/>
    <w:rsid w:val="0003633A"/>
    <w:rPr>
      <w:rFonts w:ascii="Arial" w:eastAsia="Times New Roman" w:hAnsi="Arial"/>
      <w:b/>
      <w:sz w:val="24"/>
      <w:szCs w:val="32"/>
      <w:lang w:val="es-ES_tradnl"/>
    </w:rPr>
  </w:style>
  <w:style w:type="paragraph" w:styleId="Prrafodelista">
    <w:name w:val="List Paragraph"/>
    <w:basedOn w:val="Normal"/>
    <w:uiPriority w:val="34"/>
    <w:qFormat/>
    <w:rsid w:val="001470E4"/>
    <w:pPr>
      <w:ind w:left="720"/>
      <w:contextualSpacing/>
    </w:pPr>
  </w:style>
  <w:style w:type="paragraph" w:styleId="Encabezado">
    <w:name w:val="header"/>
    <w:basedOn w:val="Normal"/>
    <w:link w:val="EncabezadoCar"/>
    <w:uiPriority w:val="99"/>
    <w:unhideWhenUsed/>
    <w:rsid w:val="00971EF1"/>
    <w:pPr>
      <w:tabs>
        <w:tab w:val="center" w:pos="4252"/>
        <w:tab w:val="right" w:pos="8504"/>
      </w:tabs>
    </w:pPr>
  </w:style>
  <w:style w:type="character" w:customStyle="1" w:styleId="EncabezadoCar">
    <w:name w:val="Encabezado Car"/>
    <w:basedOn w:val="Fuentedeprrafopredeter"/>
    <w:link w:val="Encabezado"/>
    <w:uiPriority w:val="99"/>
    <w:rsid w:val="00971EF1"/>
  </w:style>
  <w:style w:type="paragraph" w:styleId="Piedepgina">
    <w:name w:val="footer"/>
    <w:basedOn w:val="Normal"/>
    <w:link w:val="PiedepginaCar"/>
    <w:uiPriority w:val="99"/>
    <w:unhideWhenUsed/>
    <w:rsid w:val="00971EF1"/>
    <w:pPr>
      <w:tabs>
        <w:tab w:val="center" w:pos="4252"/>
        <w:tab w:val="right" w:pos="8504"/>
      </w:tabs>
    </w:pPr>
  </w:style>
  <w:style w:type="character" w:customStyle="1" w:styleId="PiedepginaCar">
    <w:name w:val="Pie de página Car"/>
    <w:basedOn w:val="Fuentedeprrafopredeter"/>
    <w:link w:val="Piedepgina"/>
    <w:uiPriority w:val="99"/>
    <w:rsid w:val="00971EF1"/>
  </w:style>
  <w:style w:type="table" w:styleId="Tablaconcuadrcula">
    <w:name w:val="Table Grid"/>
    <w:basedOn w:val="Tablanormal"/>
    <w:uiPriority w:val="39"/>
    <w:rsid w:val="009E77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E6659"/>
    <w:rPr>
      <w:rFonts w:ascii="Tahoma" w:hAnsi="Tahoma" w:cs="Tahoma"/>
      <w:sz w:val="16"/>
      <w:szCs w:val="16"/>
    </w:rPr>
  </w:style>
  <w:style w:type="character" w:customStyle="1" w:styleId="TextodegloboCar">
    <w:name w:val="Texto de globo Car"/>
    <w:basedOn w:val="Fuentedeprrafopredeter"/>
    <w:link w:val="Textodeglobo"/>
    <w:uiPriority w:val="99"/>
    <w:semiHidden/>
    <w:rsid w:val="006E6659"/>
    <w:rPr>
      <w:rFonts w:ascii="Tahoma" w:hAnsi="Tahoma" w:cs="Tahoma"/>
      <w:sz w:val="16"/>
      <w:szCs w:val="16"/>
    </w:rPr>
  </w:style>
  <w:style w:type="character" w:styleId="Refdecomentario">
    <w:name w:val="annotation reference"/>
    <w:basedOn w:val="Fuentedeprrafopredeter"/>
    <w:uiPriority w:val="99"/>
    <w:semiHidden/>
    <w:unhideWhenUsed/>
    <w:rsid w:val="00B72838"/>
    <w:rPr>
      <w:sz w:val="16"/>
      <w:szCs w:val="16"/>
    </w:rPr>
  </w:style>
  <w:style w:type="paragraph" w:styleId="Textocomentario">
    <w:name w:val="annotation text"/>
    <w:basedOn w:val="Normal"/>
    <w:link w:val="TextocomentarioCar"/>
    <w:uiPriority w:val="99"/>
    <w:semiHidden/>
    <w:unhideWhenUsed/>
    <w:rsid w:val="00B72838"/>
  </w:style>
  <w:style w:type="character" w:customStyle="1" w:styleId="TextocomentarioCar">
    <w:name w:val="Texto comentario Car"/>
    <w:basedOn w:val="Fuentedeprrafopredeter"/>
    <w:link w:val="Textocomentario"/>
    <w:uiPriority w:val="99"/>
    <w:semiHidden/>
    <w:rsid w:val="00B72838"/>
  </w:style>
  <w:style w:type="paragraph" w:styleId="Asuntodelcomentario">
    <w:name w:val="annotation subject"/>
    <w:basedOn w:val="Textocomentario"/>
    <w:next w:val="Textocomentario"/>
    <w:link w:val="AsuntodelcomentarioCar"/>
    <w:uiPriority w:val="99"/>
    <w:semiHidden/>
    <w:unhideWhenUsed/>
    <w:rsid w:val="00B72838"/>
    <w:rPr>
      <w:b/>
      <w:bCs/>
    </w:rPr>
  </w:style>
  <w:style w:type="character" w:customStyle="1" w:styleId="AsuntodelcomentarioCar">
    <w:name w:val="Asunto del comentario Car"/>
    <w:basedOn w:val="TextocomentarioCar"/>
    <w:link w:val="Asuntodelcomentario"/>
    <w:uiPriority w:val="99"/>
    <w:semiHidden/>
    <w:rsid w:val="00B72838"/>
    <w:rPr>
      <w:b/>
      <w:bCs/>
    </w:rPr>
  </w:style>
  <w:style w:type="paragraph" w:styleId="Textonotapie">
    <w:name w:val="footnote text"/>
    <w:basedOn w:val="Normal"/>
    <w:link w:val="TextonotapieCar"/>
    <w:uiPriority w:val="99"/>
    <w:semiHidden/>
    <w:unhideWhenUsed/>
    <w:rsid w:val="003B23EE"/>
  </w:style>
  <w:style w:type="character" w:customStyle="1" w:styleId="TextonotapieCar">
    <w:name w:val="Texto nota pie Car"/>
    <w:basedOn w:val="Fuentedeprrafopredeter"/>
    <w:link w:val="Textonotapie"/>
    <w:uiPriority w:val="99"/>
    <w:semiHidden/>
    <w:rsid w:val="003B23EE"/>
  </w:style>
  <w:style w:type="character" w:styleId="Refdenotaalpie">
    <w:name w:val="footnote reference"/>
    <w:basedOn w:val="Fuentedeprrafopredeter"/>
    <w:uiPriority w:val="99"/>
    <w:semiHidden/>
    <w:unhideWhenUsed/>
    <w:rsid w:val="003B23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475052">
      <w:bodyDiv w:val="1"/>
      <w:marLeft w:val="0"/>
      <w:marRight w:val="0"/>
      <w:marTop w:val="0"/>
      <w:marBottom w:val="0"/>
      <w:divBdr>
        <w:top w:val="none" w:sz="0" w:space="0" w:color="auto"/>
        <w:left w:val="none" w:sz="0" w:space="0" w:color="auto"/>
        <w:bottom w:val="none" w:sz="0" w:space="0" w:color="auto"/>
        <w:right w:val="none" w:sz="0" w:space="0" w:color="auto"/>
      </w:divBdr>
    </w:div>
    <w:div w:id="184126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F52AD-642B-42C7-8BA5-ECA5E1C46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4206</Words>
  <Characters>23135</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MARIA DOMINGUEZ ROLDAN</dc:creator>
  <cp:lastModifiedBy>JAIME APARICIO SANTOS</cp:lastModifiedBy>
  <cp:revision>3</cp:revision>
  <cp:lastPrinted>2017-01-07T12:02:00Z</cp:lastPrinted>
  <dcterms:created xsi:type="dcterms:W3CDTF">2017-05-30T19:12:00Z</dcterms:created>
  <dcterms:modified xsi:type="dcterms:W3CDTF">2017-09-27T19:23:00Z</dcterms:modified>
</cp:coreProperties>
</file>